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D0C2D" w:rsidRPr="004543FB" w:rsidRDefault="00B74F1D" w:rsidP="004543FB">
      <w:pPr>
        <w:keepNext/>
        <w:keepLines/>
        <w:spacing w:line="240" w:lineRule="auto"/>
        <w:jc w:val="both"/>
        <w:rPr>
          <w:rFonts w:ascii="Times New Roman" w:eastAsia="Verdana" w:hAnsi="Times New Roman" w:cs="Times New Roman"/>
          <w:b/>
          <w:bCs/>
          <w:sz w:val="32"/>
          <w:szCs w:val="20"/>
        </w:rPr>
      </w:pPr>
      <w:bookmarkStart w:id="0" w:name="_GoBack"/>
      <w:r w:rsidRPr="004543FB">
        <w:rPr>
          <w:rFonts w:ascii="Times New Roman" w:eastAsia="Verdana" w:hAnsi="Times New Roman" w:cs="Times New Roman"/>
          <w:b/>
          <w:bCs/>
          <w:sz w:val="32"/>
          <w:szCs w:val="20"/>
        </w:rPr>
        <w:t>Voices of Student Assistants in Higher Education</w:t>
      </w:r>
    </w:p>
    <w:bookmarkEnd w:id="0"/>
    <w:p w14:paraId="00000002" w14:textId="77777777" w:rsidR="009D0C2D" w:rsidRPr="004543FB" w:rsidRDefault="009D0C2D" w:rsidP="004543FB">
      <w:pPr>
        <w:spacing w:line="240" w:lineRule="auto"/>
        <w:jc w:val="both"/>
        <w:rPr>
          <w:rFonts w:ascii="Times New Roman" w:eastAsia="Verdana" w:hAnsi="Times New Roman" w:cs="Times New Roman"/>
          <w:sz w:val="20"/>
          <w:szCs w:val="20"/>
        </w:rPr>
      </w:pPr>
    </w:p>
    <w:p w14:paraId="00000003" w14:textId="77777777" w:rsidR="009D0C2D" w:rsidRPr="004543FB" w:rsidRDefault="00B74F1D" w:rsidP="004543FB">
      <w:pPr>
        <w:spacing w:line="240" w:lineRule="auto"/>
        <w:jc w:val="both"/>
        <w:rPr>
          <w:rFonts w:ascii="Times New Roman" w:eastAsia="Verdana" w:hAnsi="Times New Roman" w:cs="Times New Roman"/>
          <w:b/>
          <w:bCs/>
          <w:sz w:val="20"/>
          <w:szCs w:val="20"/>
        </w:rPr>
      </w:pPr>
      <w:r w:rsidRPr="004543FB">
        <w:rPr>
          <w:rFonts w:ascii="Times New Roman" w:eastAsia="Verdana" w:hAnsi="Times New Roman" w:cs="Times New Roman"/>
          <w:b/>
          <w:bCs/>
          <w:sz w:val="20"/>
          <w:szCs w:val="20"/>
        </w:rPr>
        <w:t xml:space="preserve">Mae Belen D. </w:t>
      </w:r>
      <w:proofErr w:type="spellStart"/>
      <w:r w:rsidRPr="004543FB">
        <w:rPr>
          <w:rFonts w:ascii="Times New Roman" w:eastAsia="Verdana" w:hAnsi="Times New Roman" w:cs="Times New Roman"/>
          <w:b/>
          <w:bCs/>
          <w:sz w:val="20"/>
          <w:szCs w:val="20"/>
        </w:rPr>
        <w:t>Seligbon</w:t>
      </w:r>
      <w:proofErr w:type="spellEnd"/>
    </w:p>
    <w:p w14:paraId="00000004"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La </w:t>
      </w:r>
      <w:proofErr w:type="spellStart"/>
      <w:r w:rsidRPr="004543FB">
        <w:rPr>
          <w:rFonts w:ascii="Times New Roman" w:eastAsia="Verdana" w:hAnsi="Times New Roman" w:cs="Times New Roman"/>
          <w:sz w:val="20"/>
          <w:szCs w:val="20"/>
        </w:rPr>
        <w:t>Consolacion</w:t>
      </w:r>
      <w:proofErr w:type="spellEnd"/>
      <w:r w:rsidRPr="004543FB">
        <w:rPr>
          <w:rFonts w:ascii="Times New Roman" w:eastAsia="Verdana" w:hAnsi="Times New Roman" w:cs="Times New Roman"/>
          <w:sz w:val="20"/>
          <w:szCs w:val="20"/>
        </w:rPr>
        <w:t xml:space="preserve"> College Bacolod</w:t>
      </w:r>
    </w:p>
    <w:p w14:paraId="00000005" w14:textId="77777777" w:rsidR="009D0C2D" w:rsidRPr="004543FB" w:rsidRDefault="00B74F1D" w:rsidP="004543FB">
      <w:pPr>
        <w:spacing w:line="240" w:lineRule="auto"/>
        <w:jc w:val="both"/>
        <w:rPr>
          <w:rFonts w:ascii="Times New Roman" w:eastAsia="Verdana" w:hAnsi="Times New Roman" w:cs="Times New Roman"/>
          <w:sz w:val="20"/>
          <w:szCs w:val="20"/>
        </w:rPr>
      </w:pPr>
      <w:hyperlink r:id="rId6">
        <w:r w:rsidRPr="000B31C5">
          <w:rPr>
            <w:rFonts w:ascii="Times New Roman" w:eastAsia="Verdana" w:hAnsi="Times New Roman" w:cs="Times New Roman"/>
            <w:sz w:val="20"/>
            <w:szCs w:val="20"/>
          </w:rPr>
          <w:t>https://orcid.org/</w:t>
        </w:r>
      </w:hyperlink>
      <w:r w:rsidRPr="000B31C5">
        <w:rPr>
          <w:rFonts w:ascii="Times New Roman" w:eastAsia="Verdana" w:hAnsi="Times New Roman" w:cs="Times New Roman"/>
          <w:sz w:val="20"/>
          <w:szCs w:val="20"/>
        </w:rPr>
        <w:t>0009-0000-7585-7410</w:t>
      </w:r>
      <w:r w:rsidRPr="000B31C5">
        <w:rPr>
          <w:rFonts w:ascii="Times New Roman" w:eastAsia="Verdana" w:hAnsi="Times New Roman" w:cs="Times New Roman"/>
          <w:sz w:val="20"/>
          <w:szCs w:val="20"/>
        </w:rPr>
        <w:t xml:space="preserve"> </w:t>
      </w:r>
      <w:r w:rsidRPr="004543FB">
        <w:rPr>
          <w:rFonts w:ascii="Times New Roman" w:eastAsia="Verdana" w:hAnsi="Times New Roman" w:cs="Times New Roman"/>
          <w:color w:val="0070C0"/>
          <w:sz w:val="20"/>
          <w:szCs w:val="20"/>
        </w:rPr>
        <w:t xml:space="preserve">| </w:t>
      </w:r>
      <w:r w:rsidRPr="004543FB">
        <w:rPr>
          <w:rFonts w:ascii="Times New Roman" w:eastAsia="Verdana" w:hAnsi="Times New Roman" w:cs="Times New Roman"/>
          <w:sz w:val="20"/>
          <w:szCs w:val="20"/>
        </w:rPr>
        <w:t>mbseligbon@lccbonline.edu.ph</w:t>
      </w:r>
    </w:p>
    <w:p w14:paraId="00000006" w14:textId="77777777" w:rsidR="009D0C2D" w:rsidRPr="004543FB" w:rsidRDefault="009D0C2D" w:rsidP="004543FB">
      <w:pPr>
        <w:spacing w:line="240" w:lineRule="auto"/>
        <w:jc w:val="both"/>
        <w:rPr>
          <w:rFonts w:ascii="Times New Roman" w:eastAsia="Verdana" w:hAnsi="Times New Roman" w:cs="Times New Roman"/>
          <w:sz w:val="20"/>
          <w:szCs w:val="20"/>
        </w:rPr>
      </w:pPr>
    </w:p>
    <w:p w14:paraId="00000007" w14:textId="7C037841" w:rsidR="009D0C2D" w:rsidRDefault="00B74F1D" w:rsidP="004543FB">
      <w:pPr>
        <w:keepNext/>
        <w:keepLines/>
        <w:pBdr>
          <w:top w:val="nil"/>
          <w:left w:val="nil"/>
          <w:bottom w:val="nil"/>
          <w:right w:val="nil"/>
          <w:between w:val="nil"/>
        </w:pBdr>
        <w:spacing w:line="240" w:lineRule="auto"/>
        <w:jc w:val="both"/>
        <w:rPr>
          <w:rFonts w:ascii="Times New Roman" w:eastAsia="Verdana" w:hAnsi="Times New Roman" w:cs="Times New Roman"/>
          <w:b/>
          <w:bCs/>
          <w:color w:val="000000"/>
          <w:sz w:val="20"/>
          <w:szCs w:val="20"/>
        </w:rPr>
      </w:pPr>
      <w:bookmarkStart w:id="1" w:name="_30j0zll" w:colFirst="0" w:colLast="0"/>
      <w:bookmarkEnd w:id="1"/>
      <w:r w:rsidRPr="004543FB">
        <w:rPr>
          <w:rFonts w:ascii="Times New Roman" w:eastAsia="Verdana" w:hAnsi="Times New Roman" w:cs="Times New Roman"/>
          <w:b/>
          <w:bCs/>
          <w:color w:val="000000"/>
          <w:sz w:val="20"/>
          <w:szCs w:val="20"/>
        </w:rPr>
        <w:t>Abstract:</w:t>
      </w:r>
    </w:p>
    <w:p w14:paraId="2C294E79" w14:textId="77777777" w:rsidR="004543FB" w:rsidRPr="004543FB" w:rsidRDefault="004543FB" w:rsidP="004543FB">
      <w:pPr>
        <w:keepNext/>
        <w:keepLines/>
        <w:pBdr>
          <w:top w:val="nil"/>
          <w:left w:val="nil"/>
          <w:bottom w:val="nil"/>
          <w:right w:val="nil"/>
          <w:between w:val="nil"/>
        </w:pBdr>
        <w:spacing w:line="240" w:lineRule="auto"/>
        <w:jc w:val="both"/>
        <w:rPr>
          <w:rFonts w:ascii="Times New Roman" w:eastAsia="Verdana" w:hAnsi="Times New Roman" w:cs="Times New Roman"/>
          <w:b/>
          <w:bCs/>
          <w:color w:val="000000"/>
          <w:sz w:val="20"/>
          <w:szCs w:val="20"/>
        </w:rPr>
      </w:pPr>
    </w:p>
    <w:p w14:paraId="0000000A" w14:textId="3D330CED"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Working while studying has become a common strategy for students to cope with the increasing financial demands of higher education. Students from economically disadvantaged backgrounds, in particular, often seek employment as student assistants to sustain </w:t>
      </w:r>
      <w:r w:rsidRPr="004543FB">
        <w:rPr>
          <w:rFonts w:ascii="Times New Roman" w:eastAsia="Verdana" w:hAnsi="Times New Roman" w:cs="Times New Roman"/>
          <w:sz w:val="20"/>
          <w:szCs w:val="20"/>
        </w:rPr>
        <w:t>their college education. This study explored the lived experiences of student assistants in a Catholic educational institution in Bacolod City, focusing on how they navigate the dual responsibilities of academic life and institutional work.</w:t>
      </w:r>
      <w:r w:rsidR="004543FB">
        <w:rPr>
          <w:rFonts w:ascii="Times New Roman" w:eastAsia="Verdana" w:hAnsi="Times New Roman" w:cs="Times New Roman"/>
          <w:sz w:val="20"/>
          <w:szCs w:val="20"/>
        </w:rPr>
        <w:t xml:space="preserve"> </w:t>
      </w:r>
      <w:r w:rsidRPr="004543FB">
        <w:rPr>
          <w:rFonts w:ascii="Times New Roman" w:eastAsia="Verdana" w:hAnsi="Times New Roman" w:cs="Times New Roman"/>
          <w:sz w:val="20"/>
          <w:szCs w:val="20"/>
        </w:rPr>
        <w:t>A qualitative phenomenological research design was employed to capture the participants’ subjective experiences. Five student assistants were purposively selected as conversation partners and provided rich, firsthand accounts of their daily realities. Data</w:t>
      </w:r>
      <w:r w:rsidRPr="004543FB">
        <w:rPr>
          <w:rFonts w:ascii="Times New Roman" w:eastAsia="Verdana" w:hAnsi="Times New Roman" w:cs="Times New Roman"/>
          <w:sz w:val="20"/>
          <w:szCs w:val="20"/>
        </w:rPr>
        <w:t xml:space="preserve"> were gathered through in-depth, semi-structured interviews and analyzed using </w:t>
      </w:r>
      <w:proofErr w:type="spellStart"/>
      <w:r w:rsidRPr="004543FB">
        <w:rPr>
          <w:rFonts w:ascii="Times New Roman" w:eastAsia="Verdana" w:hAnsi="Times New Roman" w:cs="Times New Roman"/>
          <w:sz w:val="20"/>
          <w:szCs w:val="20"/>
        </w:rPr>
        <w:t>Colaizzi’s</w:t>
      </w:r>
      <w:proofErr w:type="spellEnd"/>
      <w:r w:rsidRPr="004543FB">
        <w:rPr>
          <w:rFonts w:ascii="Times New Roman" w:eastAsia="Verdana" w:hAnsi="Times New Roman" w:cs="Times New Roman"/>
          <w:sz w:val="20"/>
          <w:szCs w:val="20"/>
        </w:rPr>
        <w:t xml:space="preserve"> method of thematic analysis.</w:t>
      </w:r>
      <w:r w:rsidR="004543FB">
        <w:rPr>
          <w:rFonts w:ascii="Times New Roman" w:eastAsia="Verdana" w:hAnsi="Times New Roman" w:cs="Times New Roman"/>
          <w:sz w:val="20"/>
          <w:szCs w:val="20"/>
        </w:rPr>
        <w:t xml:space="preserve"> </w:t>
      </w:r>
      <w:r w:rsidRPr="004543FB">
        <w:rPr>
          <w:rFonts w:ascii="Times New Roman" w:eastAsia="Verdana" w:hAnsi="Times New Roman" w:cs="Times New Roman"/>
          <w:sz w:val="20"/>
          <w:szCs w:val="20"/>
        </w:rPr>
        <w:t>Three major themes emerged from the findings: the struggles of student assistants, resilience through adaptation and support, and holisti</w:t>
      </w:r>
      <w:r w:rsidRPr="004543FB">
        <w:rPr>
          <w:rFonts w:ascii="Times New Roman" w:eastAsia="Verdana" w:hAnsi="Times New Roman" w:cs="Times New Roman"/>
          <w:sz w:val="20"/>
          <w:szCs w:val="20"/>
        </w:rPr>
        <w:t>c growth through responsibility and purpose. The results revealed that student assistants encounter significant challenges, including heavy workloads, rigid schedules, and difficulties balancing academic and work commitments. Despite these challenges, stro</w:t>
      </w:r>
      <w:r w:rsidRPr="004543FB">
        <w:rPr>
          <w:rFonts w:ascii="Times New Roman" w:eastAsia="Verdana" w:hAnsi="Times New Roman" w:cs="Times New Roman"/>
          <w:sz w:val="20"/>
          <w:szCs w:val="20"/>
        </w:rPr>
        <w:t>ng psychosocial support from supervisors, peers, and family members enabled them to cope effectively and adjust to their roles. Moreover, the student assistantship experience fostered personal, professional, and spiritual growth, equipping participants wit</w:t>
      </w:r>
      <w:r w:rsidRPr="004543FB">
        <w:rPr>
          <w:rFonts w:ascii="Times New Roman" w:eastAsia="Verdana" w:hAnsi="Times New Roman" w:cs="Times New Roman"/>
          <w:sz w:val="20"/>
          <w:szCs w:val="20"/>
        </w:rPr>
        <w:t>h essential skills and resilience that prepare them for future workplace realities.</w:t>
      </w:r>
    </w:p>
    <w:p w14:paraId="6A83B1D8"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0B" w14:textId="7537EF12"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b/>
          <w:bCs/>
          <w:i/>
          <w:iCs/>
          <w:sz w:val="20"/>
          <w:szCs w:val="20"/>
        </w:rPr>
        <w:t>Keywords:</w:t>
      </w:r>
      <w:r w:rsidRPr="004543FB">
        <w:rPr>
          <w:rFonts w:ascii="Times New Roman" w:eastAsia="Verdana" w:hAnsi="Times New Roman" w:cs="Times New Roman"/>
          <w:sz w:val="20"/>
          <w:szCs w:val="20"/>
        </w:rPr>
        <w:t xml:space="preserve"> student assistants, lived experiences, challenges, responsibilities, support</w:t>
      </w:r>
    </w:p>
    <w:p w14:paraId="7DDB813E"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634CE987" w14:textId="77777777" w:rsidR="004543FB" w:rsidRDefault="00B74F1D" w:rsidP="004543FB">
      <w:pPr>
        <w:spacing w:line="240" w:lineRule="auto"/>
        <w:jc w:val="both"/>
        <w:rPr>
          <w:rFonts w:ascii="Times New Roman" w:eastAsia="Verdana" w:hAnsi="Times New Roman" w:cs="Times New Roman"/>
          <w:b/>
          <w:bCs/>
          <w:color w:val="000000"/>
          <w:sz w:val="20"/>
          <w:szCs w:val="20"/>
        </w:rPr>
      </w:pPr>
      <w:r w:rsidRPr="004543FB">
        <w:rPr>
          <w:rFonts w:ascii="Times New Roman" w:eastAsia="Verdana" w:hAnsi="Times New Roman" w:cs="Times New Roman"/>
          <w:b/>
          <w:bCs/>
          <w:color w:val="000000"/>
          <w:sz w:val="20"/>
          <w:szCs w:val="20"/>
        </w:rPr>
        <w:t>Introduction:</w:t>
      </w:r>
    </w:p>
    <w:p w14:paraId="0000000C" w14:textId="5A00947A"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b/>
          <w:bCs/>
          <w:sz w:val="20"/>
          <w:szCs w:val="20"/>
        </w:rPr>
        <w:br/>
      </w:r>
      <w:r w:rsidRPr="004543FB">
        <w:rPr>
          <w:rFonts w:ascii="Times New Roman" w:eastAsia="Verdana" w:hAnsi="Times New Roman" w:cs="Times New Roman"/>
          <w:sz w:val="20"/>
          <w:szCs w:val="20"/>
        </w:rPr>
        <w:t xml:space="preserve">“Working to learn” has become an increasingly common phenomenon across </w:t>
      </w:r>
      <w:r w:rsidRPr="004543FB">
        <w:rPr>
          <w:rFonts w:ascii="Times New Roman" w:eastAsia="Verdana" w:hAnsi="Times New Roman" w:cs="Times New Roman"/>
          <w:sz w:val="20"/>
          <w:szCs w:val="20"/>
        </w:rPr>
        <w:t>higher education systems worldwide. In developed contexts, substantial proportions of university students combine employment with formal studies. In the United States, for instance, approximately 74% of part-time undergraduate students and 40% of full-time</w:t>
      </w:r>
      <w:r w:rsidRPr="004543FB">
        <w:rPr>
          <w:rFonts w:ascii="Times New Roman" w:eastAsia="Verdana" w:hAnsi="Times New Roman" w:cs="Times New Roman"/>
          <w:sz w:val="20"/>
          <w:szCs w:val="20"/>
        </w:rPr>
        <w:t xml:space="preserve"> undergraduates were employed while enrolled in school, based on data from the National Center for Education Statistics (Kerr &amp; Cabral, 2023). Similarly, data from </w:t>
      </w:r>
      <w:proofErr w:type="spellStart"/>
      <w:r w:rsidRPr="004543FB">
        <w:rPr>
          <w:rFonts w:ascii="Times New Roman" w:eastAsia="Verdana" w:hAnsi="Times New Roman" w:cs="Times New Roman"/>
          <w:sz w:val="20"/>
          <w:szCs w:val="20"/>
        </w:rPr>
        <w:t>Oertele</w:t>
      </w:r>
      <w:proofErr w:type="spellEnd"/>
      <w:r w:rsidRPr="004543FB">
        <w:rPr>
          <w:rFonts w:ascii="Times New Roman" w:eastAsia="Verdana" w:hAnsi="Times New Roman" w:cs="Times New Roman"/>
          <w:sz w:val="20"/>
          <w:szCs w:val="20"/>
        </w:rPr>
        <w:t xml:space="preserve"> (2022) revealed that 23% of individuals aged 15–29 years in Europe were working stud</w:t>
      </w:r>
      <w:r w:rsidRPr="004543FB">
        <w:rPr>
          <w:rFonts w:ascii="Times New Roman" w:eastAsia="Verdana" w:hAnsi="Times New Roman" w:cs="Times New Roman"/>
          <w:sz w:val="20"/>
          <w:szCs w:val="20"/>
        </w:rPr>
        <w:t>ents, with as many as 70% of those within this age bracket combining employment and education. These figures reflect a global trend in which student employment is no longer peripheral but embedded within contemporary higher education participation.</w:t>
      </w:r>
    </w:p>
    <w:p w14:paraId="58E2B41C"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0D" w14:textId="323BBBCB"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In deve</w:t>
      </w:r>
      <w:r w:rsidRPr="004543FB">
        <w:rPr>
          <w:rFonts w:ascii="Times New Roman" w:eastAsia="Verdana" w:hAnsi="Times New Roman" w:cs="Times New Roman"/>
          <w:sz w:val="20"/>
          <w:szCs w:val="20"/>
        </w:rPr>
        <w:t>loping countries such as the Philippines, the phenomenon of working students is shaped by distinct socioeconomic realities. A college diploma is widely regarded as a pathway to social mobility and economic security, prompting strong state intervention to w</w:t>
      </w:r>
      <w:r w:rsidRPr="004543FB">
        <w:rPr>
          <w:rFonts w:ascii="Times New Roman" w:eastAsia="Verdana" w:hAnsi="Times New Roman" w:cs="Times New Roman"/>
          <w:sz w:val="20"/>
          <w:szCs w:val="20"/>
        </w:rPr>
        <w:t>iden access to tertiary education. The implementation of the Universal Access to Tertiary Education Act (Republic Act No. 10931), approved on August 3, 2017, significantly expanded opportunities for Filipino students to pursue higher education. Despite thi</w:t>
      </w:r>
      <w:r w:rsidRPr="004543FB">
        <w:rPr>
          <w:rFonts w:ascii="Times New Roman" w:eastAsia="Verdana" w:hAnsi="Times New Roman" w:cs="Times New Roman"/>
          <w:sz w:val="20"/>
          <w:szCs w:val="20"/>
        </w:rPr>
        <w:t xml:space="preserve">s policy support, financial constraints persist. A 2022 survey by the Commission on Higher Education (CHED) reported that approximately 216,000 senior high school and college students were engaged in employment to sustain their studies. These data suggest </w:t>
      </w:r>
      <w:r w:rsidRPr="004543FB">
        <w:rPr>
          <w:rFonts w:ascii="Times New Roman" w:eastAsia="Verdana" w:hAnsi="Times New Roman" w:cs="Times New Roman"/>
          <w:sz w:val="20"/>
          <w:szCs w:val="20"/>
        </w:rPr>
        <w:t>that free tuition alone does not eliminate the need for students to work, particularly among those from economically disadvantaged backgrounds.</w:t>
      </w:r>
    </w:p>
    <w:p w14:paraId="38A01C02"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0E" w14:textId="2A5AA1FD"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Working students may be broadly defined as individuals who pursue full-time academic programs while engaging in </w:t>
      </w:r>
      <w:r w:rsidRPr="004543FB">
        <w:rPr>
          <w:rFonts w:ascii="Times New Roman" w:eastAsia="Verdana" w:hAnsi="Times New Roman" w:cs="Times New Roman"/>
          <w:sz w:val="20"/>
          <w:szCs w:val="20"/>
        </w:rPr>
        <w:t>paid employment beyond marginal or incidental work. Munich Business School (2022) characterizes working students as those enrolled in full-time university programs who are employed on a more-than-marginal basis by an organization. In many Philippine privat</w:t>
      </w:r>
      <w:r w:rsidRPr="004543FB">
        <w:rPr>
          <w:rFonts w:ascii="Times New Roman" w:eastAsia="Verdana" w:hAnsi="Times New Roman" w:cs="Times New Roman"/>
          <w:sz w:val="20"/>
          <w:szCs w:val="20"/>
        </w:rPr>
        <w:t>e higher education institutions, students working on campus are commonly referred to as student assistants. These students are typically assigned clerical and support tasks such as encoding, printing, filing, and other office-related duties, depending on t</w:t>
      </w:r>
      <w:r w:rsidRPr="004543FB">
        <w:rPr>
          <w:rFonts w:ascii="Times New Roman" w:eastAsia="Verdana" w:hAnsi="Times New Roman" w:cs="Times New Roman"/>
          <w:sz w:val="20"/>
          <w:szCs w:val="20"/>
        </w:rPr>
        <w:t>heir designated unit. Their workstations are often located in libraries, administrative offices, and dining services, where they contribute directly to the daily operations of the institution.</w:t>
      </w:r>
    </w:p>
    <w:p w14:paraId="720529AB"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0F"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The dual engagement in work and study has been shown to yield b</w:t>
      </w:r>
      <w:r w:rsidRPr="004543FB">
        <w:rPr>
          <w:rFonts w:ascii="Times New Roman" w:eastAsia="Verdana" w:hAnsi="Times New Roman" w:cs="Times New Roman"/>
          <w:sz w:val="20"/>
          <w:szCs w:val="20"/>
        </w:rPr>
        <w:t xml:space="preserve">oth developmental benefits and substantial challenges. From a positive standpoint, employment during college can enhance students’ employability and foster a sense of belonging within the academic community. Usman et al. (2023) emphasize that experiential </w:t>
      </w:r>
      <w:r w:rsidRPr="004543FB">
        <w:rPr>
          <w:rFonts w:ascii="Times New Roman" w:eastAsia="Verdana" w:hAnsi="Times New Roman" w:cs="Times New Roman"/>
          <w:sz w:val="20"/>
          <w:szCs w:val="20"/>
        </w:rPr>
        <w:t>learning opportunities, including on-campus employment, contribute to holistic educational development and support students’ social integration. Employment can also function as a platform for skills acquisition, particularly when employability skills are i</w:t>
      </w:r>
      <w:r w:rsidRPr="004543FB">
        <w:rPr>
          <w:rFonts w:ascii="Times New Roman" w:eastAsia="Verdana" w:hAnsi="Times New Roman" w:cs="Times New Roman"/>
          <w:sz w:val="20"/>
          <w:szCs w:val="20"/>
        </w:rPr>
        <w:t>ntentionally integrated into higher education curricula (Rubio-Andrés et al., 2023). Furthermore, work experiences have been associated with leadership development among students, although outcomes may vary depending on the nature and demands of the job (P</w:t>
      </w:r>
      <w:r w:rsidRPr="004543FB">
        <w:rPr>
          <w:rFonts w:ascii="Times New Roman" w:eastAsia="Verdana" w:hAnsi="Times New Roman" w:cs="Times New Roman"/>
          <w:sz w:val="20"/>
          <w:szCs w:val="20"/>
        </w:rPr>
        <w:t>eck &amp; Callahan, 2019).</w:t>
      </w:r>
    </w:p>
    <w:p w14:paraId="00000010" w14:textId="77777777" w:rsidR="009D0C2D" w:rsidRPr="004543FB" w:rsidRDefault="009D0C2D" w:rsidP="004543FB">
      <w:pPr>
        <w:spacing w:line="240" w:lineRule="auto"/>
        <w:jc w:val="both"/>
        <w:rPr>
          <w:rFonts w:ascii="Times New Roman" w:eastAsia="Verdana" w:hAnsi="Times New Roman" w:cs="Times New Roman"/>
          <w:sz w:val="20"/>
          <w:szCs w:val="20"/>
        </w:rPr>
      </w:pPr>
    </w:p>
    <w:p w14:paraId="00000011" w14:textId="51D7D8D7"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Conversely, a growing body of literature highlights the adverse consequences of student employment, particularly in relation to academic performance and mental health. Balancing work and academic responsibilities often introduces he</w:t>
      </w:r>
      <w:r w:rsidRPr="004543FB">
        <w:rPr>
          <w:rFonts w:ascii="Times New Roman" w:eastAsia="Verdana" w:hAnsi="Times New Roman" w:cs="Times New Roman"/>
          <w:sz w:val="20"/>
          <w:szCs w:val="20"/>
        </w:rPr>
        <w:t xml:space="preserve">ightened stress, which may manifest as anxiety, burnout, and reduced academic engagement (Summer et al., 2023). Empirical evidence indicates that employment-related pressures exacerbate stress levels among students, especially in contexts characterized by </w:t>
      </w:r>
      <w:r w:rsidRPr="004543FB">
        <w:rPr>
          <w:rFonts w:ascii="Times New Roman" w:eastAsia="Verdana" w:hAnsi="Times New Roman" w:cs="Times New Roman"/>
          <w:sz w:val="20"/>
          <w:szCs w:val="20"/>
        </w:rPr>
        <w:t>limited job security and financial necessity (Yang et al., 2022). Similarly, job-related demands have been found to detract from students’ psychological well-being and academic focus (Peng et al., 2023). Reliance on employment for financial stability—parti</w:t>
      </w:r>
      <w:r w:rsidRPr="004543FB">
        <w:rPr>
          <w:rFonts w:ascii="Times New Roman" w:eastAsia="Verdana" w:hAnsi="Times New Roman" w:cs="Times New Roman"/>
          <w:sz w:val="20"/>
          <w:szCs w:val="20"/>
        </w:rPr>
        <w:t>cularly within precarious labor arrangements such as the gig economy—can further intensify work-study conflict, adversely affecting academic outcomes (</w:t>
      </w:r>
      <w:proofErr w:type="spellStart"/>
      <w:r w:rsidRPr="004543FB">
        <w:rPr>
          <w:rFonts w:ascii="Times New Roman" w:eastAsia="Verdana" w:hAnsi="Times New Roman" w:cs="Times New Roman"/>
          <w:sz w:val="20"/>
          <w:szCs w:val="20"/>
        </w:rPr>
        <w:t>Glavin</w:t>
      </w:r>
      <w:proofErr w:type="spellEnd"/>
      <w:r w:rsidRPr="004543FB">
        <w:rPr>
          <w:rFonts w:ascii="Times New Roman" w:eastAsia="Verdana" w:hAnsi="Times New Roman" w:cs="Times New Roman"/>
          <w:sz w:val="20"/>
          <w:szCs w:val="20"/>
        </w:rPr>
        <w:t xml:space="preserve"> et al., 2024). Excessive work hours have also been linked to diminished academic motivation, with </w:t>
      </w:r>
      <w:r w:rsidRPr="004543FB">
        <w:rPr>
          <w:rFonts w:ascii="Times New Roman" w:eastAsia="Verdana" w:hAnsi="Times New Roman" w:cs="Times New Roman"/>
          <w:sz w:val="20"/>
          <w:szCs w:val="20"/>
        </w:rPr>
        <w:t>students engaged in extended part-time employment reporting lower levels of commitment to their studies (Chen et al., 2021).</w:t>
      </w:r>
    </w:p>
    <w:p w14:paraId="60A6811A"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2" w14:textId="2A04121E"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In the Philippine context, working while pursuing tertiary education is not a new phenomenon. Students commonly cite financial nece</w:t>
      </w:r>
      <w:r w:rsidRPr="004543FB">
        <w:rPr>
          <w:rFonts w:ascii="Times New Roman" w:eastAsia="Verdana" w:hAnsi="Times New Roman" w:cs="Times New Roman"/>
          <w:sz w:val="20"/>
          <w:szCs w:val="20"/>
        </w:rPr>
        <w:t>ssity as the primary motivation for employment, including supporting underprivileged families, sustaining educational expenses, and compensating for limited or absent family financial support due to unemployment, illness, or death. Others report working to</w:t>
      </w:r>
      <w:r w:rsidRPr="004543FB">
        <w:rPr>
          <w:rFonts w:ascii="Times New Roman" w:eastAsia="Verdana" w:hAnsi="Times New Roman" w:cs="Times New Roman"/>
          <w:sz w:val="20"/>
          <w:szCs w:val="20"/>
        </w:rPr>
        <w:t xml:space="preserve"> assert personal agency and demonstrate that poverty need not preclude academic success (</w:t>
      </w:r>
      <w:proofErr w:type="spellStart"/>
      <w:r w:rsidRPr="004543FB">
        <w:rPr>
          <w:rFonts w:ascii="Times New Roman" w:eastAsia="Verdana" w:hAnsi="Times New Roman" w:cs="Times New Roman"/>
          <w:sz w:val="20"/>
          <w:szCs w:val="20"/>
        </w:rPr>
        <w:t>Balacuit</w:t>
      </w:r>
      <w:proofErr w:type="spellEnd"/>
      <w:r w:rsidRPr="004543FB">
        <w:rPr>
          <w:rFonts w:ascii="Times New Roman" w:eastAsia="Verdana" w:hAnsi="Times New Roman" w:cs="Times New Roman"/>
          <w:sz w:val="20"/>
          <w:szCs w:val="20"/>
        </w:rPr>
        <w:t xml:space="preserve"> &amp; </w:t>
      </w:r>
      <w:proofErr w:type="spellStart"/>
      <w:r w:rsidRPr="004543FB">
        <w:rPr>
          <w:rFonts w:ascii="Times New Roman" w:eastAsia="Verdana" w:hAnsi="Times New Roman" w:cs="Times New Roman"/>
          <w:sz w:val="20"/>
          <w:szCs w:val="20"/>
        </w:rPr>
        <w:t>Lopio</w:t>
      </w:r>
      <w:proofErr w:type="spellEnd"/>
      <w:r w:rsidRPr="004543FB">
        <w:rPr>
          <w:rFonts w:ascii="Times New Roman" w:eastAsia="Verdana" w:hAnsi="Times New Roman" w:cs="Times New Roman"/>
          <w:sz w:val="20"/>
          <w:szCs w:val="20"/>
        </w:rPr>
        <w:t>, 2022). Despite the prevalence of student employment, limited empirical attention has been given to the lived experiences of student assistants workin</w:t>
      </w:r>
      <w:r w:rsidRPr="004543FB">
        <w:rPr>
          <w:rFonts w:ascii="Times New Roman" w:eastAsia="Verdana" w:hAnsi="Times New Roman" w:cs="Times New Roman"/>
          <w:sz w:val="20"/>
          <w:szCs w:val="20"/>
        </w:rPr>
        <w:t>g within higher education institutions, particularly in faith-based settings.</w:t>
      </w:r>
    </w:p>
    <w:p w14:paraId="7937E090"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3" w14:textId="1EA263EF"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Against this backdrop, the present study explored the lived experiences of student assistants in a Catholic higher education institution in Bacolod City during the Academic Year </w:t>
      </w:r>
      <w:r w:rsidRPr="004543FB">
        <w:rPr>
          <w:rFonts w:ascii="Times New Roman" w:eastAsia="Verdana" w:hAnsi="Times New Roman" w:cs="Times New Roman"/>
          <w:sz w:val="20"/>
          <w:szCs w:val="20"/>
        </w:rPr>
        <w:t>2023–2024. Specifically, it sought to examine how student assistants experience the dual roles of work and study and how these experiences shape their views toward employment and education. By foregrounding the voices of student assistants, this study aims</w:t>
      </w:r>
      <w:r w:rsidRPr="004543FB">
        <w:rPr>
          <w:rFonts w:ascii="Times New Roman" w:eastAsia="Verdana" w:hAnsi="Times New Roman" w:cs="Times New Roman"/>
          <w:sz w:val="20"/>
          <w:szCs w:val="20"/>
        </w:rPr>
        <w:t xml:space="preserve"> to contribute nuanced, context-specific insights into the complexities of student employment within Philippine higher education.</w:t>
      </w:r>
    </w:p>
    <w:p w14:paraId="56E09A78"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47E2E525" w14:textId="77777777" w:rsidR="004543FB" w:rsidRDefault="00B74F1D" w:rsidP="004543FB">
      <w:pPr>
        <w:spacing w:line="240" w:lineRule="auto"/>
        <w:jc w:val="both"/>
        <w:rPr>
          <w:rFonts w:ascii="Times New Roman" w:eastAsia="Verdana" w:hAnsi="Times New Roman" w:cs="Times New Roman"/>
          <w:b/>
          <w:bCs/>
          <w:sz w:val="20"/>
          <w:szCs w:val="20"/>
        </w:rPr>
      </w:pPr>
      <w:r w:rsidRPr="004543FB">
        <w:rPr>
          <w:rFonts w:ascii="Times New Roman" w:eastAsia="Verdana" w:hAnsi="Times New Roman" w:cs="Times New Roman"/>
          <w:b/>
          <w:bCs/>
          <w:sz w:val="20"/>
          <w:szCs w:val="20"/>
        </w:rPr>
        <w:t>Review of Related Literature</w:t>
      </w:r>
    </w:p>
    <w:p w14:paraId="00000014" w14:textId="30725755"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b/>
          <w:bCs/>
          <w:sz w:val="20"/>
          <w:szCs w:val="20"/>
        </w:rPr>
        <w:br/>
      </w:r>
      <w:r w:rsidRPr="004543FB">
        <w:rPr>
          <w:rFonts w:ascii="Times New Roman" w:eastAsia="Verdana" w:hAnsi="Times New Roman" w:cs="Times New Roman"/>
          <w:sz w:val="20"/>
          <w:szCs w:val="20"/>
        </w:rPr>
        <w:t xml:space="preserve">Scholarly literature on transitions consistently emphasizes that transitions are not discrete or </w:t>
      </w:r>
      <w:r w:rsidRPr="004543FB">
        <w:rPr>
          <w:rFonts w:ascii="Times New Roman" w:eastAsia="Verdana" w:hAnsi="Times New Roman" w:cs="Times New Roman"/>
          <w:sz w:val="20"/>
          <w:szCs w:val="20"/>
        </w:rPr>
        <w:t xml:space="preserve">momentary events but rather ongoing processes characterized by movement across phases. </w:t>
      </w:r>
      <w:proofErr w:type="spellStart"/>
      <w:r w:rsidRPr="004543FB">
        <w:rPr>
          <w:rFonts w:ascii="Times New Roman" w:eastAsia="Verdana" w:hAnsi="Times New Roman" w:cs="Times New Roman"/>
          <w:sz w:val="20"/>
          <w:szCs w:val="20"/>
        </w:rPr>
        <w:t>Ślebarska</w:t>
      </w:r>
      <w:proofErr w:type="spellEnd"/>
      <w:r w:rsidRPr="004543FB">
        <w:rPr>
          <w:rFonts w:ascii="Times New Roman" w:eastAsia="Verdana" w:hAnsi="Times New Roman" w:cs="Times New Roman"/>
          <w:sz w:val="20"/>
          <w:szCs w:val="20"/>
        </w:rPr>
        <w:t xml:space="preserve"> and </w:t>
      </w:r>
      <w:proofErr w:type="spellStart"/>
      <w:r w:rsidRPr="004543FB">
        <w:rPr>
          <w:rFonts w:ascii="Times New Roman" w:eastAsia="Verdana" w:hAnsi="Times New Roman" w:cs="Times New Roman"/>
          <w:sz w:val="20"/>
          <w:szCs w:val="20"/>
        </w:rPr>
        <w:t>Flakus</w:t>
      </w:r>
      <w:proofErr w:type="spellEnd"/>
      <w:r w:rsidRPr="004543FB">
        <w:rPr>
          <w:rFonts w:ascii="Times New Roman" w:eastAsia="Verdana" w:hAnsi="Times New Roman" w:cs="Times New Roman"/>
          <w:sz w:val="20"/>
          <w:szCs w:val="20"/>
        </w:rPr>
        <w:t xml:space="preserve"> (2020) argue that transitions involve a sequence of endings and beginnings, where the conclusion of one phase creates the conditions necessary for e</w:t>
      </w:r>
      <w:r w:rsidRPr="004543FB">
        <w:rPr>
          <w:rFonts w:ascii="Times New Roman" w:eastAsia="Verdana" w:hAnsi="Times New Roman" w:cs="Times New Roman"/>
          <w:sz w:val="20"/>
          <w:szCs w:val="20"/>
        </w:rPr>
        <w:t xml:space="preserve">ntry into the next. This process-oriented view highlights the cumulative nature of transitions, suggesting that individuals continuously adapt as they move through changing roles, environments, and expectations. </w:t>
      </w:r>
      <w:proofErr w:type="spellStart"/>
      <w:r w:rsidRPr="004543FB">
        <w:rPr>
          <w:rFonts w:ascii="Times New Roman" w:eastAsia="Verdana" w:hAnsi="Times New Roman" w:cs="Times New Roman"/>
          <w:sz w:val="20"/>
          <w:szCs w:val="20"/>
        </w:rPr>
        <w:t>Bangcola</w:t>
      </w:r>
      <w:proofErr w:type="spellEnd"/>
      <w:r w:rsidRPr="004543FB">
        <w:rPr>
          <w:rFonts w:ascii="Times New Roman" w:eastAsia="Verdana" w:hAnsi="Times New Roman" w:cs="Times New Roman"/>
          <w:sz w:val="20"/>
          <w:szCs w:val="20"/>
        </w:rPr>
        <w:t xml:space="preserve"> (2023) further supports this perspe</w:t>
      </w:r>
      <w:r w:rsidRPr="004543FB">
        <w:rPr>
          <w:rFonts w:ascii="Times New Roman" w:eastAsia="Verdana" w:hAnsi="Times New Roman" w:cs="Times New Roman"/>
          <w:sz w:val="20"/>
          <w:szCs w:val="20"/>
        </w:rPr>
        <w:t>ctive by noting that each completed phase of a transition plays a critical role in shaping how individuals navigate subsequent phases, underscoring the interconnectedness of transition experiences.</w:t>
      </w:r>
    </w:p>
    <w:p w14:paraId="2D8D20EF"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5" w14:textId="0AEA9033"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While transitions are often associated with heightened stress, research suggests that individuals can mitigate these stressors through reflective and adaptive practices. </w:t>
      </w:r>
      <w:proofErr w:type="spellStart"/>
      <w:r w:rsidRPr="004543FB">
        <w:rPr>
          <w:rFonts w:ascii="Times New Roman" w:eastAsia="Verdana" w:hAnsi="Times New Roman" w:cs="Times New Roman"/>
          <w:sz w:val="20"/>
          <w:szCs w:val="20"/>
        </w:rPr>
        <w:t>Ślebarska</w:t>
      </w:r>
      <w:proofErr w:type="spellEnd"/>
      <w:r w:rsidRPr="004543FB">
        <w:rPr>
          <w:rFonts w:ascii="Times New Roman" w:eastAsia="Verdana" w:hAnsi="Times New Roman" w:cs="Times New Roman"/>
          <w:sz w:val="20"/>
          <w:szCs w:val="20"/>
        </w:rPr>
        <w:t xml:space="preserve"> and </w:t>
      </w:r>
      <w:proofErr w:type="spellStart"/>
      <w:r w:rsidRPr="004543FB">
        <w:rPr>
          <w:rFonts w:ascii="Times New Roman" w:eastAsia="Verdana" w:hAnsi="Times New Roman" w:cs="Times New Roman"/>
          <w:sz w:val="20"/>
          <w:szCs w:val="20"/>
        </w:rPr>
        <w:t>Flakus</w:t>
      </w:r>
      <w:proofErr w:type="spellEnd"/>
      <w:r w:rsidRPr="004543FB">
        <w:rPr>
          <w:rFonts w:ascii="Times New Roman" w:eastAsia="Verdana" w:hAnsi="Times New Roman" w:cs="Times New Roman"/>
          <w:sz w:val="20"/>
          <w:szCs w:val="20"/>
        </w:rPr>
        <w:t xml:space="preserve"> (2020) introduce the concept of “taking stock,” a reflective proc</w:t>
      </w:r>
      <w:r w:rsidRPr="004543FB">
        <w:rPr>
          <w:rFonts w:ascii="Times New Roman" w:eastAsia="Verdana" w:hAnsi="Times New Roman" w:cs="Times New Roman"/>
          <w:sz w:val="20"/>
          <w:szCs w:val="20"/>
        </w:rPr>
        <w:t>ess through which individuals evaluate their current circumstances, recognize available resources, and develop awareness of their strengths and limitations. This process enables individuals to respond more effectively to the demands of transition by foster</w:t>
      </w:r>
      <w:r w:rsidRPr="004543FB">
        <w:rPr>
          <w:rFonts w:ascii="Times New Roman" w:eastAsia="Verdana" w:hAnsi="Times New Roman" w:cs="Times New Roman"/>
          <w:sz w:val="20"/>
          <w:szCs w:val="20"/>
        </w:rPr>
        <w:t>ing intentional decision-making and adaptive coping.</w:t>
      </w:r>
    </w:p>
    <w:p w14:paraId="63AAA7A0"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6" w14:textId="708EE655"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literature identifies four interrelated domains that comprise the “taking stock” process and collectively shape an individual’s capacity to manage transitions. The first domain, </w:t>
      </w:r>
      <w:r w:rsidRPr="004543FB">
        <w:rPr>
          <w:rFonts w:ascii="Times New Roman" w:eastAsia="Verdana" w:hAnsi="Times New Roman" w:cs="Times New Roman"/>
          <w:i/>
          <w:iCs/>
          <w:sz w:val="20"/>
          <w:szCs w:val="20"/>
        </w:rPr>
        <w:t>Situation</w:t>
      </w:r>
      <w:r w:rsidRPr="004543FB">
        <w:rPr>
          <w:rFonts w:ascii="Times New Roman" w:eastAsia="Verdana" w:hAnsi="Times New Roman" w:cs="Times New Roman"/>
          <w:sz w:val="20"/>
          <w:szCs w:val="20"/>
        </w:rPr>
        <w:t xml:space="preserve">, refers to </w:t>
      </w:r>
      <w:r w:rsidRPr="004543FB">
        <w:rPr>
          <w:rFonts w:ascii="Times New Roman" w:eastAsia="Verdana" w:hAnsi="Times New Roman" w:cs="Times New Roman"/>
          <w:sz w:val="20"/>
          <w:szCs w:val="20"/>
        </w:rPr>
        <w:t xml:space="preserve">the specific context and conditions surrounding the transition. Factors such as role demands, institutional environment, and timing can significantly </w:t>
      </w:r>
      <w:r w:rsidRPr="004543FB">
        <w:rPr>
          <w:rFonts w:ascii="Times New Roman" w:eastAsia="Verdana" w:hAnsi="Times New Roman" w:cs="Times New Roman"/>
          <w:sz w:val="20"/>
          <w:szCs w:val="20"/>
        </w:rPr>
        <w:lastRenderedPageBreak/>
        <w:t>influence how individuals interpret and respond to change. Understanding the situational context is theref</w:t>
      </w:r>
      <w:r w:rsidRPr="004543FB">
        <w:rPr>
          <w:rFonts w:ascii="Times New Roman" w:eastAsia="Verdana" w:hAnsi="Times New Roman" w:cs="Times New Roman"/>
          <w:sz w:val="20"/>
          <w:szCs w:val="20"/>
        </w:rPr>
        <w:t>ore crucial in explaining variations in transition outcomes among individuals undergoing similar experiences.</w:t>
      </w:r>
    </w:p>
    <w:p w14:paraId="35273C2C"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7" w14:textId="0728F923"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second domain, </w:t>
      </w:r>
      <w:r w:rsidRPr="004543FB">
        <w:rPr>
          <w:rFonts w:ascii="Times New Roman" w:eastAsia="Verdana" w:hAnsi="Times New Roman" w:cs="Times New Roman"/>
          <w:i/>
          <w:iCs/>
          <w:sz w:val="20"/>
          <w:szCs w:val="20"/>
        </w:rPr>
        <w:t>Support</w:t>
      </w:r>
      <w:r w:rsidRPr="004543FB">
        <w:rPr>
          <w:rFonts w:ascii="Times New Roman" w:eastAsia="Verdana" w:hAnsi="Times New Roman" w:cs="Times New Roman"/>
          <w:sz w:val="20"/>
          <w:szCs w:val="20"/>
        </w:rPr>
        <w:t xml:space="preserve">, encompasses the emotional, social, and practical resources available to individuals during transitions. </w:t>
      </w: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xml:space="preserve"> (2023) </w:t>
      </w:r>
      <w:r w:rsidRPr="004543FB">
        <w:rPr>
          <w:rFonts w:ascii="Times New Roman" w:eastAsia="Verdana" w:hAnsi="Times New Roman" w:cs="Times New Roman"/>
          <w:sz w:val="20"/>
          <w:szCs w:val="20"/>
        </w:rPr>
        <w:t>emphasizes that access to supportive networks—such as family, peers, mentors, and institutional structures—can buffer the negative effects of transition-related stress. In higher education settings, support systems play a vital role in sustaining students’</w:t>
      </w:r>
      <w:r w:rsidRPr="004543FB">
        <w:rPr>
          <w:rFonts w:ascii="Times New Roman" w:eastAsia="Verdana" w:hAnsi="Times New Roman" w:cs="Times New Roman"/>
          <w:sz w:val="20"/>
          <w:szCs w:val="20"/>
        </w:rPr>
        <w:t xml:space="preserve"> motivation, well-being, and persistence, particularly among those balancing multiple responsibilities.</w:t>
      </w:r>
    </w:p>
    <w:p w14:paraId="49EA5BCD"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8"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third domain, </w:t>
      </w:r>
      <w:r w:rsidRPr="004543FB">
        <w:rPr>
          <w:rFonts w:ascii="Times New Roman" w:eastAsia="Verdana" w:hAnsi="Times New Roman" w:cs="Times New Roman"/>
          <w:i/>
          <w:iCs/>
          <w:sz w:val="20"/>
          <w:szCs w:val="20"/>
        </w:rPr>
        <w:t>Self</w:t>
      </w:r>
      <w:r w:rsidRPr="004543FB">
        <w:rPr>
          <w:rFonts w:ascii="Times New Roman" w:eastAsia="Verdana" w:hAnsi="Times New Roman" w:cs="Times New Roman"/>
          <w:sz w:val="20"/>
          <w:szCs w:val="20"/>
        </w:rPr>
        <w:t>, involves personal attributes, prior experiences, and identity-related factors that influence how individuals perceive and naviga</w:t>
      </w:r>
      <w:r w:rsidRPr="004543FB">
        <w:rPr>
          <w:rFonts w:ascii="Times New Roman" w:eastAsia="Verdana" w:hAnsi="Times New Roman" w:cs="Times New Roman"/>
          <w:sz w:val="20"/>
          <w:szCs w:val="20"/>
        </w:rPr>
        <w:t xml:space="preserve">te transitions. Research highlights self-efficacy as a critical element within this domain. </w:t>
      </w: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xml:space="preserve"> (2023) notes that first-generation transfer students with a strong sense of self-efficacy demonstrate greater resilience and adaptability when confronting ac</w:t>
      </w:r>
      <w:r w:rsidRPr="004543FB">
        <w:rPr>
          <w:rFonts w:ascii="Times New Roman" w:eastAsia="Verdana" w:hAnsi="Times New Roman" w:cs="Times New Roman"/>
          <w:sz w:val="20"/>
          <w:szCs w:val="20"/>
        </w:rPr>
        <w:t>ademic and social challenges in higher education. This suggests that individuals’ beliefs about their own capabilities significantly affect their ability to manage transitional demands.</w:t>
      </w:r>
    </w:p>
    <w:p w14:paraId="00000019" w14:textId="4478E606"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fourth domain, </w:t>
      </w:r>
      <w:r w:rsidRPr="004543FB">
        <w:rPr>
          <w:rFonts w:ascii="Times New Roman" w:eastAsia="Verdana" w:hAnsi="Times New Roman" w:cs="Times New Roman"/>
          <w:i/>
          <w:iCs/>
          <w:sz w:val="20"/>
          <w:szCs w:val="20"/>
        </w:rPr>
        <w:t>Strategies</w:t>
      </w:r>
      <w:r w:rsidRPr="004543FB">
        <w:rPr>
          <w:rFonts w:ascii="Times New Roman" w:eastAsia="Verdana" w:hAnsi="Times New Roman" w:cs="Times New Roman"/>
          <w:sz w:val="20"/>
          <w:szCs w:val="20"/>
        </w:rPr>
        <w:t>, pertains to the coping mechanisms and p</w:t>
      </w:r>
      <w:r w:rsidRPr="004543FB">
        <w:rPr>
          <w:rFonts w:ascii="Times New Roman" w:eastAsia="Verdana" w:hAnsi="Times New Roman" w:cs="Times New Roman"/>
          <w:sz w:val="20"/>
          <w:szCs w:val="20"/>
        </w:rPr>
        <w:t xml:space="preserve">ractical approaches individuals employ to handle transition-related challenges. Effective strategies enable individuals to regulate stress and balance competing responsibilities. </w:t>
      </w:r>
      <w:proofErr w:type="spellStart"/>
      <w:r w:rsidRPr="004543FB">
        <w:rPr>
          <w:rFonts w:ascii="Times New Roman" w:eastAsia="Verdana" w:hAnsi="Times New Roman" w:cs="Times New Roman"/>
          <w:sz w:val="20"/>
          <w:szCs w:val="20"/>
        </w:rPr>
        <w:t>Roybal</w:t>
      </w:r>
      <w:proofErr w:type="spellEnd"/>
      <w:r w:rsidRPr="004543FB">
        <w:rPr>
          <w:rFonts w:ascii="Times New Roman" w:eastAsia="Verdana" w:hAnsi="Times New Roman" w:cs="Times New Roman"/>
          <w:sz w:val="20"/>
          <w:szCs w:val="20"/>
        </w:rPr>
        <w:t xml:space="preserve"> et al. (2021) found that structured time management strategies are par</w:t>
      </w:r>
      <w:r w:rsidRPr="004543FB">
        <w:rPr>
          <w:rFonts w:ascii="Times New Roman" w:eastAsia="Verdana" w:hAnsi="Times New Roman" w:cs="Times New Roman"/>
          <w:sz w:val="20"/>
          <w:szCs w:val="20"/>
        </w:rPr>
        <w:t>ticularly beneficial for working students, allowing them to manage academic and occupational demands more efficiently. The use of deliberate strategies not only reduces stress but also contributes to improved academic performance and overall adjustment.</w:t>
      </w:r>
    </w:p>
    <w:p w14:paraId="6D1D4DF1"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A" w14:textId="3037DD9C"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Co</w:t>
      </w:r>
      <w:r w:rsidRPr="004543FB">
        <w:rPr>
          <w:rFonts w:ascii="Times New Roman" w:eastAsia="Verdana" w:hAnsi="Times New Roman" w:cs="Times New Roman"/>
          <w:sz w:val="20"/>
          <w:szCs w:val="20"/>
        </w:rPr>
        <w:t>llectively, these studies demonstrate that transitions—such as those experienced by working students—are complex, multifaceted processes shaped by situational factors, available support, personal attributes, and coping strategies. Understanding these domai</w:t>
      </w:r>
      <w:r w:rsidRPr="004543FB">
        <w:rPr>
          <w:rFonts w:ascii="Times New Roman" w:eastAsia="Verdana" w:hAnsi="Times New Roman" w:cs="Times New Roman"/>
          <w:sz w:val="20"/>
          <w:szCs w:val="20"/>
        </w:rPr>
        <w:t>ns provides a comprehensive framework for examining how student assistants navigate the dual demands of work and study within higher education contexts.</w:t>
      </w:r>
    </w:p>
    <w:p w14:paraId="6A3D8622"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B" w14:textId="094E995F" w:rsidR="009D0C2D" w:rsidRDefault="00B74F1D" w:rsidP="004543FB">
      <w:pPr>
        <w:pBdr>
          <w:top w:val="nil"/>
          <w:left w:val="nil"/>
          <w:bottom w:val="nil"/>
          <w:right w:val="nil"/>
          <w:between w:val="nil"/>
        </w:pBdr>
        <w:spacing w:line="240" w:lineRule="auto"/>
        <w:ind w:left="13" w:right="380"/>
        <w:jc w:val="both"/>
        <w:rPr>
          <w:rFonts w:ascii="Times New Roman" w:eastAsia="Verdana" w:hAnsi="Times New Roman" w:cs="Times New Roman"/>
          <w:b/>
          <w:bCs/>
          <w:sz w:val="20"/>
          <w:szCs w:val="20"/>
        </w:rPr>
      </w:pPr>
      <w:r w:rsidRPr="004543FB">
        <w:rPr>
          <w:rFonts w:ascii="Times New Roman" w:eastAsia="Verdana" w:hAnsi="Times New Roman" w:cs="Times New Roman"/>
          <w:b/>
          <w:bCs/>
          <w:sz w:val="20"/>
          <w:szCs w:val="20"/>
        </w:rPr>
        <w:t>Methodology</w:t>
      </w:r>
    </w:p>
    <w:p w14:paraId="275E7A46" w14:textId="77777777" w:rsidR="004543FB" w:rsidRPr="004543FB" w:rsidRDefault="004543FB" w:rsidP="004543FB">
      <w:pPr>
        <w:pBdr>
          <w:top w:val="nil"/>
          <w:left w:val="nil"/>
          <w:bottom w:val="nil"/>
          <w:right w:val="nil"/>
          <w:between w:val="nil"/>
        </w:pBdr>
        <w:spacing w:line="240" w:lineRule="auto"/>
        <w:ind w:left="13" w:right="380"/>
        <w:jc w:val="both"/>
        <w:rPr>
          <w:rFonts w:ascii="Times New Roman" w:eastAsia="Verdana" w:hAnsi="Times New Roman" w:cs="Times New Roman"/>
          <w:b/>
          <w:bCs/>
          <w:sz w:val="20"/>
          <w:szCs w:val="20"/>
        </w:rPr>
      </w:pPr>
    </w:p>
    <w:p w14:paraId="0000001C" w14:textId="2B6D1AF6"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This study employed a qualitative research approach to explore the lived experiences of student assistants working on campus while pursuing higher education. Specifically, a phenomenological research design was utilized to capture and interpret how student</w:t>
      </w:r>
      <w:r w:rsidRPr="004543FB">
        <w:rPr>
          <w:rFonts w:ascii="Times New Roman" w:eastAsia="Verdana" w:hAnsi="Times New Roman" w:cs="Times New Roman"/>
          <w:sz w:val="20"/>
          <w:szCs w:val="20"/>
        </w:rPr>
        <w:t xml:space="preserve"> assistants make sense of their dual roles as workers and students. Qualitative research is a methodological approach that seeks to understand human behavior, experiences, and social phenomena through rich, narrative data, emphasizing participants’ subject</w:t>
      </w:r>
      <w:r w:rsidRPr="004543FB">
        <w:rPr>
          <w:rFonts w:ascii="Times New Roman" w:eastAsia="Verdana" w:hAnsi="Times New Roman" w:cs="Times New Roman"/>
          <w:sz w:val="20"/>
          <w:szCs w:val="20"/>
        </w:rPr>
        <w:t>ive meanings and interpretations of their lived realities (Aspers &amp; Corte, 2019). This approach enables researchers to gain in-depth insights into participants’ thoughts, motivations, and emotions, thereby offering a holistic understanding of the phenomeno</w:t>
      </w:r>
      <w:r w:rsidRPr="004543FB">
        <w:rPr>
          <w:rFonts w:ascii="Times New Roman" w:eastAsia="Verdana" w:hAnsi="Times New Roman" w:cs="Times New Roman"/>
          <w:sz w:val="20"/>
          <w:szCs w:val="20"/>
        </w:rPr>
        <w:t>n under investigation.</w:t>
      </w:r>
    </w:p>
    <w:p w14:paraId="13B01833"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D"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Grounded in the philosophical foundations of phenomenology as articulated by Edmund Husserl, this study focused on individuals’ lived experiences and the meanings they ascribe to those experiences. Phenomenology aims to uncover the e</w:t>
      </w:r>
      <w:r w:rsidRPr="004543FB">
        <w:rPr>
          <w:rFonts w:ascii="Times New Roman" w:eastAsia="Verdana" w:hAnsi="Times New Roman" w:cs="Times New Roman"/>
          <w:sz w:val="20"/>
          <w:szCs w:val="20"/>
        </w:rPr>
        <w:t>ssence of a phenomenon as it appears to consciousness, emphasizing how individuals perceive, interpret, and give meaning to their experiences within specific contexts (</w:t>
      </w:r>
      <w:proofErr w:type="spellStart"/>
      <w:r w:rsidRPr="004543FB">
        <w:rPr>
          <w:rFonts w:ascii="Times New Roman" w:eastAsia="Verdana" w:hAnsi="Times New Roman" w:cs="Times New Roman"/>
          <w:sz w:val="20"/>
          <w:szCs w:val="20"/>
        </w:rPr>
        <w:t>Vos</w:t>
      </w:r>
      <w:proofErr w:type="spellEnd"/>
      <w:r w:rsidRPr="004543FB">
        <w:rPr>
          <w:rFonts w:ascii="Times New Roman" w:eastAsia="Verdana" w:hAnsi="Times New Roman" w:cs="Times New Roman"/>
          <w:sz w:val="20"/>
          <w:szCs w:val="20"/>
        </w:rPr>
        <w:t>, 2020). This design was deemed appropriate for examining the realities of student as</w:t>
      </w:r>
      <w:r w:rsidRPr="004543FB">
        <w:rPr>
          <w:rFonts w:ascii="Times New Roman" w:eastAsia="Verdana" w:hAnsi="Times New Roman" w:cs="Times New Roman"/>
          <w:sz w:val="20"/>
          <w:szCs w:val="20"/>
        </w:rPr>
        <w:t>sistants whose academic lives are shaped by simultaneous work responsibilities.</w:t>
      </w:r>
    </w:p>
    <w:p w14:paraId="0000001E" w14:textId="4B47F840"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The study was conducted in a private Catholic higher education institution in Bacolod City during the Academic Year 2023–2024. The participants, referred to as conversation par</w:t>
      </w:r>
      <w:r w:rsidRPr="004543FB">
        <w:rPr>
          <w:rFonts w:ascii="Times New Roman" w:eastAsia="Verdana" w:hAnsi="Times New Roman" w:cs="Times New Roman"/>
          <w:sz w:val="20"/>
          <w:szCs w:val="20"/>
        </w:rPr>
        <w:t>tners, consisted of five (5) student assistants assigned to different departments and offices within the institution. Purposive sampling was employed to select participants who could provide rich and relevant information aligned with the research objective</w:t>
      </w:r>
      <w:r w:rsidRPr="004543FB">
        <w:rPr>
          <w:rFonts w:ascii="Times New Roman" w:eastAsia="Verdana" w:hAnsi="Times New Roman" w:cs="Times New Roman"/>
          <w:sz w:val="20"/>
          <w:szCs w:val="20"/>
        </w:rPr>
        <w:t>s. Purposive sampling is a non-probability sampling technique in which participants are deliberately chosen based on characteristics relevant to the phenomenon being studied, thereby enhancing the depth and relevance of the data collected (</w:t>
      </w:r>
      <w:proofErr w:type="spellStart"/>
      <w:r w:rsidRPr="004543FB">
        <w:rPr>
          <w:rFonts w:ascii="Times New Roman" w:eastAsia="Verdana" w:hAnsi="Times New Roman" w:cs="Times New Roman"/>
          <w:sz w:val="20"/>
          <w:szCs w:val="20"/>
        </w:rPr>
        <w:t>Limna</w:t>
      </w:r>
      <w:proofErr w:type="spellEnd"/>
      <w:r w:rsidRPr="004543FB">
        <w:rPr>
          <w:rFonts w:ascii="Times New Roman" w:eastAsia="Verdana" w:hAnsi="Times New Roman" w:cs="Times New Roman"/>
          <w:sz w:val="20"/>
          <w:szCs w:val="20"/>
        </w:rPr>
        <w:t xml:space="preserve"> &amp; </w:t>
      </w:r>
      <w:proofErr w:type="spellStart"/>
      <w:r w:rsidRPr="004543FB">
        <w:rPr>
          <w:rFonts w:ascii="Times New Roman" w:eastAsia="Verdana" w:hAnsi="Times New Roman" w:cs="Times New Roman"/>
          <w:sz w:val="20"/>
          <w:szCs w:val="20"/>
        </w:rPr>
        <w:t>Kraiwani</w:t>
      </w:r>
      <w:r w:rsidRPr="004543FB">
        <w:rPr>
          <w:rFonts w:ascii="Times New Roman" w:eastAsia="Verdana" w:hAnsi="Times New Roman" w:cs="Times New Roman"/>
          <w:sz w:val="20"/>
          <w:szCs w:val="20"/>
        </w:rPr>
        <w:t>t</w:t>
      </w:r>
      <w:proofErr w:type="spellEnd"/>
      <w:r w:rsidRPr="004543FB">
        <w:rPr>
          <w:rFonts w:ascii="Times New Roman" w:eastAsia="Verdana" w:hAnsi="Times New Roman" w:cs="Times New Roman"/>
          <w:sz w:val="20"/>
          <w:szCs w:val="20"/>
        </w:rPr>
        <w:t>, 2024). The inclusion criteria required that participants be between nineteen (19) and twenty-three (23) years old, have served as student assistants for at least two (2) to three (3) years, come from families whose income falls below the poverty thresho</w:t>
      </w:r>
      <w:r w:rsidRPr="004543FB">
        <w:rPr>
          <w:rFonts w:ascii="Times New Roman" w:eastAsia="Verdana" w:hAnsi="Times New Roman" w:cs="Times New Roman"/>
          <w:sz w:val="20"/>
          <w:szCs w:val="20"/>
        </w:rPr>
        <w:t>ld, and be officially enrolled during the Academic Year 2023–2024.</w:t>
      </w:r>
    </w:p>
    <w:p w14:paraId="230B82A6"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1F" w14:textId="6FA5428C"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Data were gathered through the use of a semi-structured interview guide, which allowed for flexibility in exploring participants’ experiences while ensuring alignment with the study’s objec</w:t>
      </w:r>
      <w:r w:rsidRPr="004543FB">
        <w:rPr>
          <w:rFonts w:ascii="Times New Roman" w:eastAsia="Verdana" w:hAnsi="Times New Roman" w:cs="Times New Roman"/>
          <w:sz w:val="20"/>
          <w:szCs w:val="20"/>
        </w:rPr>
        <w:t xml:space="preserve">tives. Semi-structured interviews are particularly effective in educational research as they facilitate in-depth exploration of nuanced experiences, especially </w:t>
      </w:r>
      <w:r w:rsidRPr="004543FB">
        <w:rPr>
          <w:rFonts w:ascii="Times New Roman" w:eastAsia="Verdana" w:hAnsi="Times New Roman" w:cs="Times New Roman"/>
          <w:sz w:val="20"/>
          <w:szCs w:val="20"/>
        </w:rPr>
        <w:lastRenderedPageBreak/>
        <w:t>among students undergoing significant transitions in higher education contexts (</w:t>
      </w: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2023). T</w:t>
      </w:r>
      <w:r w:rsidRPr="004543FB">
        <w:rPr>
          <w:rFonts w:ascii="Times New Roman" w:eastAsia="Verdana" w:hAnsi="Times New Roman" w:cs="Times New Roman"/>
          <w:sz w:val="20"/>
          <w:szCs w:val="20"/>
        </w:rPr>
        <w:t>he interview guide consisted of ten open-ended questions designed to elicit detailed accounts of participants’ daily routines, work responsibilities, academic experiences, and reflections on working within a Catholic educational environment. Sample questio</w:t>
      </w:r>
      <w:r w:rsidRPr="004543FB">
        <w:rPr>
          <w:rFonts w:ascii="Times New Roman" w:eastAsia="Verdana" w:hAnsi="Times New Roman" w:cs="Times New Roman"/>
          <w:sz w:val="20"/>
          <w:szCs w:val="20"/>
        </w:rPr>
        <w:t>ns included inquiries about a typical day or week as a student assistant and how participants experience and embody the mission and values of the Catholic school in their daily tasks.</w:t>
      </w:r>
    </w:p>
    <w:p w14:paraId="31F6FAC2"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0" w14:textId="33B02095"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Data collection was conducted through face-to-face interviews between th</w:t>
      </w:r>
      <w:r w:rsidRPr="004543FB">
        <w:rPr>
          <w:rFonts w:ascii="Times New Roman" w:eastAsia="Verdana" w:hAnsi="Times New Roman" w:cs="Times New Roman"/>
          <w:sz w:val="20"/>
          <w:szCs w:val="20"/>
        </w:rPr>
        <w:t>e researcher and each conversation partner. Prior to the interviews, participants were informed of the purpose of the study, the voluntary nature of their participation, and the confidentiality of the data. With participants’ consent, interviews were audio</w:t>
      </w:r>
      <w:r w:rsidRPr="004543FB">
        <w:rPr>
          <w:rFonts w:ascii="Times New Roman" w:eastAsia="Verdana" w:hAnsi="Times New Roman" w:cs="Times New Roman"/>
          <w:sz w:val="20"/>
          <w:szCs w:val="20"/>
        </w:rPr>
        <w:t>-recorded to ensure accuracy and completeness of the data. Relevant contextual details such as time, date, and location of each interview were documented. Data collection followed established ethical standards for research involving human participants, con</w:t>
      </w:r>
      <w:r w:rsidRPr="004543FB">
        <w:rPr>
          <w:rFonts w:ascii="Times New Roman" w:eastAsia="Verdana" w:hAnsi="Times New Roman" w:cs="Times New Roman"/>
          <w:sz w:val="20"/>
          <w:szCs w:val="20"/>
        </w:rPr>
        <w:t>sistent with the definition of data collection as the systematic gathering and measuring of information to answer research questions and evaluate outcomes (</w:t>
      </w:r>
      <w:proofErr w:type="spellStart"/>
      <w:r w:rsidRPr="004543FB">
        <w:rPr>
          <w:rFonts w:ascii="Times New Roman" w:eastAsia="Verdana" w:hAnsi="Times New Roman" w:cs="Times New Roman"/>
          <w:sz w:val="20"/>
          <w:szCs w:val="20"/>
        </w:rPr>
        <w:t>Jovancic</w:t>
      </w:r>
      <w:proofErr w:type="spellEnd"/>
      <w:r w:rsidRPr="004543FB">
        <w:rPr>
          <w:rFonts w:ascii="Times New Roman" w:eastAsia="Verdana" w:hAnsi="Times New Roman" w:cs="Times New Roman"/>
          <w:sz w:val="20"/>
          <w:szCs w:val="20"/>
        </w:rPr>
        <w:t>, 2022).</w:t>
      </w:r>
    </w:p>
    <w:p w14:paraId="06DECC19"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1" w14:textId="7D8F32DA"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Ethical considerations were given paramount importance throughout the research proc</w:t>
      </w:r>
      <w:r w:rsidRPr="004543FB">
        <w:rPr>
          <w:rFonts w:ascii="Times New Roman" w:eastAsia="Verdana" w:hAnsi="Times New Roman" w:cs="Times New Roman"/>
          <w:sz w:val="20"/>
          <w:szCs w:val="20"/>
        </w:rPr>
        <w:t xml:space="preserve">ess. Ethical research practices ensure the protection of participants’ rights, dignity, and welfare, including the provision of informed consent and the safeguarding of confidentiality (Lang et al., 2022). Prior to participation, all conversation partners </w:t>
      </w:r>
      <w:r w:rsidRPr="004543FB">
        <w:rPr>
          <w:rFonts w:ascii="Times New Roman" w:eastAsia="Verdana" w:hAnsi="Times New Roman" w:cs="Times New Roman"/>
          <w:sz w:val="20"/>
          <w:szCs w:val="20"/>
        </w:rPr>
        <w:t>were thoroughly informed about the nature and purpose of the study, the procedures involved, potential risks and benefits, and their rights as participants, including the right to withdraw at any point without negative consequences. Participants were assur</w:t>
      </w:r>
      <w:r w:rsidRPr="004543FB">
        <w:rPr>
          <w:rFonts w:ascii="Times New Roman" w:eastAsia="Verdana" w:hAnsi="Times New Roman" w:cs="Times New Roman"/>
          <w:sz w:val="20"/>
          <w:szCs w:val="20"/>
        </w:rPr>
        <w:t>ed that all identifying information would be kept confidential and that data would be used solely for academic purposes.</w:t>
      </w:r>
    </w:p>
    <w:p w14:paraId="799EDDC9"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2" w14:textId="1366557A"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Given the potential vulnerability of participants as working students from economically disadvantaged backgrounds, additional safeguard</w:t>
      </w:r>
      <w:r w:rsidRPr="004543FB">
        <w:rPr>
          <w:rFonts w:ascii="Times New Roman" w:eastAsia="Verdana" w:hAnsi="Times New Roman" w:cs="Times New Roman"/>
          <w:sz w:val="20"/>
          <w:szCs w:val="20"/>
        </w:rPr>
        <w:t>s were implemented. Participation was entirely voluntary, and participants were free to discontinue the interview if they felt uncomfortable. To mitigate potential emotional risks, the researcher ensured that a counselor or psychologist was available durin</w:t>
      </w:r>
      <w:r w:rsidRPr="004543FB">
        <w:rPr>
          <w:rFonts w:ascii="Times New Roman" w:eastAsia="Verdana" w:hAnsi="Times New Roman" w:cs="Times New Roman"/>
          <w:sz w:val="20"/>
          <w:szCs w:val="20"/>
        </w:rPr>
        <w:t>g the interview process for debriefing if needed. The anticipated benefits of the study include informing parents, teachers, student assistants, and guidance counselors in the development of guidance programs tailored to working scholars. Participants were</w:t>
      </w:r>
      <w:r w:rsidRPr="004543FB">
        <w:rPr>
          <w:rFonts w:ascii="Times New Roman" w:eastAsia="Verdana" w:hAnsi="Times New Roman" w:cs="Times New Roman"/>
          <w:sz w:val="20"/>
          <w:szCs w:val="20"/>
        </w:rPr>
        <w:t xml:space="preserve"> selected fairly based on the established inclusion criteria and were compensated for their voluntary participation. Transparency was maintained by ensuring that no conflicts of interest or monetary claims were associated with the study, and a copy of the </w:t>
      </w:r>
      <w:r w:rsidRPr="004543FB">
        <w:rPr>
          <w:rFonts w:ascii="Times New Roman" w:eastAsia="Verdana" w:hAnsi="Times New Roman" w:cs="Times New Roman"/>
          <w:sz w:val="20"/>
          <w:szCs w:val="20"/>
        </w:rPr>
        <w:t>research paper will be made available upon publication. The researcher personally financed all aspects of the study, including data gathering, analysis, and manuscript preparation, thereby ensuring adequacy of facilities and independence of the research pr</w:t>
      </w:r>
      <w:r w:rsidRPr="004543FB">
        <w:rPr>
          <w:rFonts w:ascii="Times New Roman" w:eastAsia="Verdana" w:hAnsi="Times New Roman" w:cs="Times New Roman"/>
          <w:sz w:val="20"/>
          <w:szCs w:val="20"/>
        </w:rPr>
        <w:t>ocess.</w:t>
      </w:r>
    </w:p>
    <w:p w14:paraId="57E9E6E9"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3" w14:textId="5EDD0237"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To ensure the rigor and trustworthiness of the findings, the study adhered to the framework proposed by Lincoln and </w:t>
      </w:r>
      <w:proofErr w:type="spellStart"/>
      <w:r w:rsidRPr="004543FB">
        <w:rPr>
          <w:rFonts w:ascii="Times New Roman" w:eastAsia="Verdana" w:hAnsi="Times New Roman" w:cs="Times New Roman"/>
          <w:sz w:val="20"/>
          <w:szCs w:val="20"/>
        </w:rPr>
        <w:t>Guba</w:t>
      </w:r>
      <w:proofErr w:type="spellEnd"/>
      <w:r w:rsidRPr="004543FB">
        <w:rPr>
          <w:rFonts w:ascii="Times New Roman" w:eastAsia="Verdana" w:hAnsi="Times New Roman" w:cs="Times New Roman"/>
          <w:sz w:val="20"/>
          <w:szCs w:val="20"/>
        </w:rPr>
        <w:t xml:space="preserve"> (1985), which encompasses credibility, transferability, dependability, and confirmability. Credibility was established by ensuri</w:t>
      </w:r>
      <w:r w:rsidRPr="004543FB">
        <w:rPr>
          <w:rFonts w:ascii="Times New Roman" w:eastAsia="Verdana" w:hAnsi="Times New Roman" w:cs="Times New Roman"/>
          <w:sz w:val="20"/>
          <w:szCs w:val="20"/>
        </w:rPr>
        <w:t>ng that the findings accurately reflected participants’ perspectives and lived realities. Strategies such as member checking and prolonged engagement were employed to enhance the authenticity and reliability of the data. Transferability was addressed by pr</w:t>
      </w:r>
      <w:r w:rsidRPr="004543FB">
        <w:rPr>
          <w:rFonts w:ascii="Times New Roman" w:eastAsia="Verdana" w:hAnsi="Times New Roman" w:cs="Times New Roman"/>
          <w:sz w:val="20"/>
          <w:szCs w:val="20"/>
        </w:rPr>
        <w:t>oviding rich, detailed descriptions of the research context, participants, and procedures, enabling readers to assess the applicability of the findings to other contexts (</w:t>
      </w:r>
      <w:proofErr w:type="spellStart"/>
      <w:r w:rsidRPr="004543FB">
        <w:rPr>
          <w:rFonts w:ascii="Times New Roman" w:eastAsia="Verdana" w:hAnsi="Times New Roman" w:cs="Times New Roman"/>
          <w:sz w:val="20"/>
          <w:szCs w:val="20"/>
        </w:rPr>
        <w:t>Stalmeijer</w:t>
      </w:r>
      <w:proofErr w:type="spellEnd"/>
      <w:r w:rsidRPr="004543FB">
        <w:rPr>
          <w:rFonts w:ascii="Times New Roman" w:eastAsia="Verdana" w:hAnsi="Times New Roman" w:cs="Times New Roman"/>
          <w:sz w:val="20"/>
          <w:szCs w:val="20"/>
        </w:rPr>
        <w:t xml:space="preserve"> et al., 2024). Dependability was ensured by maintaining clear documentatio</w:t>
      </w:r>
      <w:r w:rsidRPr="004543FB">
        <w:rPr>
          <w:rFonts w:ascii="Times New Roman" w:eastAsia="Verdana" w:hAnsi="Times New Roman" w:cs="Times New Roman"/>
          <w:sz w:val="20"/>
          <w:szCs w:val="20"/>
        </w:rPr>
        <w:t xml:space="preserve">n of the research process, including process logs and peer debriefing, allowing the research procedures to be logical, traceable, and transparent (Lincoln &amp; </w:t>
      </w:r>
      <w:proofErr w:type="spellStart"/>
      <w:r w:rsidRPr="004543FB">
        <w:rPr>
          <w:rFonts w:ascii="Times New Roman" w:eastAsia="Verdana" w:hAnsi="Times New Roman" w:cs="Times New Roman"/>
          <w:sz w:val="20"/>
          <w:szCs w:val="20"/>
        </w:rPr>
        <w:t>Guba</w:t>
      </w:r>
      <w:proofErr w:type="spellEnd"/>
      <w:r w:rsidRPr="004543FB">
        <w:rPr>
          <w:rFonts w:ascii="Times New Roman" w:eastAsia="Verdana" w:hAnsi="Times New Roman" w:cs="Times New Roman"/>
          <w:sz w:val="20"/>
          <w:szCs w:val="20"/>
        </w:rPr>
        <w:t>, 1985). Confirmability was achieved by ensuring that findings were grounded in participants’ n</w:t>
      </w:r>
      <w:r w:rsidRPr="004543FB">
        <w:rPr>
          <w:rFonts w:ascii="Times New Roman" w:eastAsia="Verdana" w:hAnsi="Times New Roman" w:cs="Times New Roman"/>
          <w:sz w:val="20"/>
          <w:szCs w:val="20"/>
        </w:rPr>
        <w:t>arratives rather than researcher bias, thereby enhancing the objectivity and trustworthiness of the interpretations (Lien et al., 2020).</w:t>
      </w:r>
    </w:p>
    <w:p w14:paraId="5FAAD2DE"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4"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Data analysis followed </w:t>
      </w:r>
      <w:proofErr w:type="spellStart"/>
      <w:r w:rsidRPr="004543FB">
        <w:rPr>
          <w:rFonts w:ascii="Times New Roman" w:eastAsia="Verdana" w:hAnsi="Times New Roman" w:cs="Times New Roman"/>
          <w:sz w:val="20"/>
          <w:szCs w:val="20"/>
        </w:rPr>
        <w:t>Colaizzi’s</w:t>
      </w:r>
      <w:proofErr w:type="spellEnd"/>
      <w:r w:rsidRPr="004543FB">
        <w:rPr>
          <w:rFonts w:ascii="Times New Roman" w:eastAsia="Verdana" w:hAnsi="Times New Roman" w:cs="Times New Roman"/>
          <w:sz w:val="20"/>
          <w:szCs w:val="20"/>
        </w:rPr>
        <w:t xml:space="preserve"> seven-step phenomenological method. The researcher began by immersing herself in the </w:t>
      </w:r>
      <w:r w:rsidRPr="004543FB">
        <w:rPr>
          <w:rFonts w:ascii="Times New Roman" w:eastAsia="Verdana" w:hAnsi="Times New Roman" w:cs="Times New Roman"/>
          <w:sz w:val="20"/>
          <w:szCs w:val="20"/>
        </w:rPr>
        <w:t>data through repeated readings of all interview transcripts to gain a comprehensive understanding of participants’ accounts. Significant statements directly related to the phenomenon were identified and extracted, with corresponding page and line numbers d</w:t>
      </w:r>
      <w:r w:rsidRPr="004543FB">
        <w:rPr>
          <w:rFonts w:ascii="Times New Roman" w:eastAsia="Verdana" w:hAnsi="Times New Roman" w:cs="Times New Roman"/>
          <w:sz w:val="20"/>
          <w:szCs w:val="20"/>
        </w:rPr>
        <w:t>ocumented. Meanings were then formulated from these significant statements and clustered into themes that reflected common patterns across participants’ experiences. These themes were integrated into an exhaustive description of the phenomenon, which was s</w:t>
      </w:r>
      <w:r w:rsidRPr="004543FB">
        <w:rPr>
          <w:rFonts w:ascii="Times New Roman" w:eastAsia="Verdana" w:hAnsi="Times New Roman" w:cs="Times New Roman"/>
          <w:sz w:val="20"/>
          <w:szCs w:val="20"/>
        </w:rPr>
        <w:t>ubsequently distilled into a fundamental structure capturing the essential aspects of the lived experience of student assistants. Finally, this fundamental structure was returned to the conversation partners for validation to ensure that it accurately repr</w:t>
      </w:r>
      <w:r w:rsidRPr="004543FB">
        <w:rPr>
          <w:rFonts w:ascii="Times New Roman" w:eastAsia="Verdana" w:hAnsi="Times New Roman" w:cs="Times New Roman"/>
          <w:sz w:val="20"/>
          <w:szCs w:val="20"/>
        </w:rPr>
        <w:t>esented their experiences.</w:t>
      </w:r>
    </w:p>
    <w:p w14:paraId="60978B7E" w14:textId="77777777" w:rsidR="004543FB" w:rsidRDefault="004543FB" w:rsidP="004543FB">
      <w:pPr>
        <w:spacing w:line="240" w:lineRule="auto"/>
        <w:jc w:val="both"/>
        <w:rPr>
          <w:rFonts w:ascii="Times New Roman" w:eastAsia="Verdana" w:hAnsi="Times New Roman" w:cs="Times New Roman"/>
          <w:b/>
          <w:bCs/>
          <w:sz w:val="20"/>
          <w:szCs w:val="20"/>
        </w:rPr>
      </w:pPr>
    </w:p>
    <w:p w14:paraId="00000025" w14:textId="54274810" w:rsidR="009D0C2D" w:rsidRDefault="00B74F1D" w:rsidP="004543FB">
      <w:pPr>
        <w:spacing w:line="240" w:lineRule="auto"/>
        <w:jc w:val="both"/>
        <w:rPr>
          <w:rFonts w:ascii="Times New Roman" w:eastAsia="Verdana" w:hAnsi="Times New Roman" w:cs="Times New Roman"/>
          <w:b/>
          <w:bCs/>
          <w:sz w:val="20"/>
          <w:szCs w:val="20"/>
        </w:rPr>
      </w:pPr>
      <w:r w:rsidRPr="004543FB">
        <w:rPr>
          <w:rFonts w:ascii="Times New Roman" w:eastAsia="Verdana" w:hAnsi="Times New Roman" w:cs="Times New Roman"/>
          <w:b/>
          <w:bCs/>
          <w:sz w:val="20"/>
          <w:szCs w:val="20"/>
        </w:rPr>
        <w:lastRenderedPageBreak/>
        <w:t>Results</w:t>
      </w:r>
    </w:p>
    <w:p w14:paraId="02045FCA" w14:textId="77777777" w:rsidR="004543FB" w:rsidRPr="004543FB" w:rsidRDefault="004543FB" w:rsidP="004543FB">
      <w:pPr>
        <w:spacing w:line="240" w:lineRule="auto"/>
        <w:jc w:val="both"/>
        <w:rPr>
          <w:rFonts w:ascii="Times New Roman" w:eastAsia="Verdana" w:hAnsi="Times New Roman" w:cs="Times New Roman"/>
          <w:b/>
          <w:bCs/>
          <w:sz w:val="20"/>
          <w:szCs w:val="20"/>
        </w:rPr>
      </w:pPr>
    </w:p>
    <w:p w14:paraId="00000026" w14:textId="6ED4A324"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Analysis of the interview data revealed three major themes that emerged consistently from the participants’ narratives: </w:t>
      </w:r>
      <w:r w:rsidRPr="004543FB">
        <w:rPr>
          <w:rFonts w:ascii="Times New Roman" w:eastAsia="Verdana" w:hAnsi="Times New Roman" w:cs="Times New Roman"/>
          <w:b/>
          <w:bCs/>
          <w:sz w:val="20"/>
          <w:szCs w:val="20"/>
        </w:rPr>
        <w:t>The Struggles of Student Assistants</w:t>
      </w:r>
      <w:r w:rsidRPr="004543FB">
        <w:rPr>
          <w:rFonts w:ascii="Times New Roman" w:eastAsia="Verdana" w:hAnsi="Times New Roman" w:cs="Times New Roman"/>
          <w:sz w:val="20"/>
          <w:szCs w:val="20"/>
        </w:rPr>
        <w:t xml:space="preserve">, </w:t>
      </w:r>
      <w:r w:rsidRPr="004543FB">
        <w:rPr>
          <w:rFonts w:ascii="Times New Roman" w:eastAsia="Verdana" w:hAnsi="Times New Roman" w:cs="Times New Roman"/>
          <w:b/>
          <w:bCs/>
          <w:sz w:val="20"/>
          <w:szCs w:val="20"/>
        </w:rPr>
        <w:t>Resilience Through Adaptation and Support</w:t>
      </w:r>
      <w:r w:rsidRPr="004543FB">
        <w:rPr>
          <w:rFonts w:ascii="Times New Roman" w:eastAsia="Verdana" w:hAnsi="Times New Roman" w:cs="Times New Roman"/>
          <w:sz w:val="20"/>
          <w:szCs w:val="20"/>
        </w:rPr>
        <w:t xml:space="preserve">, and </w:t>
      </w:r>
      <w:r w:rsidRPr="004543FB">
        <w:rPr>
          <w:rFonts w:ascii="Times New Roman" w:eastAsia="Verdana" w:hAnsi="Times New Roman" w:cs="Times New Roman"/>
          <w:b/>
          <w:bCs/>
          <w:sz w:val="20"/>
          <w:szCs w:val="20"/>
        </w:rPr>
        <w:t>Holistic Growth T</w:t>
      </w:r>
      <w:r w:rsidRPr="004543FB">
        <w:rPr>
          <w:rFonts w:ascii="Times New Roman" w:eastAsia="Verdana" w:hAnsi="Times New Roman" w:cs="Times New Roman"/>
          <w:b/>
          <w:bCs/>
          <w:sz w:val="20"/>
          <w:szCs w:val="20"/>
        </w:rPr>
        <w:t>hrough Responsibility and Purpose</w:t>
      </w:r>
      <w:r w:rsidRPr="004543FB">
        <w:rPr>
          <w:rFonts w:ascii="Times New Roman" w:eastAsia="Verdana" w:hAnsi="Times New Roman" w:cs="Times New Roman"/>
          <w:sz w:val="20"/>
          <w:szCs w:val="20"/>
        </w:rPr>
        <w:t xml:space="preserve">. These themes reflect the shared yet distinct lived experiences of student assistants as they navigated the dual demands of work and academic life. The findings are presented through a synthesis of participants’ accounts, </w:t>
      </w:r>
      <w:r w:rsidRPr="004543FB">
        <w:rPr>
          <w:rFonts w:ascii="Times New Roman" w:eastAsia="Verdana" w:hAnsi="Times New Roman" w:cs="Times New Roman"/>
          <w:sz w:val="20"/>
          <w:szCs w:val="20"/>
        </w:rPr>
        <w:t>illustrating both commonalities and individual variations in experience.</w:t>
      </w:r>
    </w:p>
    <w:p w14:paraId="6E83A079"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7" w14:textId="7572655B"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first theme, </w:t>
      </w:r>
      <w:r w:rsidRPr="004543FB">
        <w:rPr>
          <w:rFonts w:ascii="Times New Roman" w:eastAsia="Verdana" w:hAnsi="Times New Roman" w:cs="Times New Roman"/>
          <w:i/>
          <w:iCs/>
          <w:sz w:val="20"/>
          <w:szCs w:val="20"/>
        </w:rPr>
        <w:t>The Struggles of Student Assistants</w:t>
      </w:r>
      <w:r w:rsidRPr="004543FB">
        <w:rPr>
          <w:rFonts w:ascii="Times New Roman" w:eastAsia="Verdana" w:hAnsi="Times New Roman" w:cs="Times New Roman"/>
          <w:sz w:val="20"/>
          <w:szCs w:val="20"/>
        </w:rPr>
        <w:t>, captures the multifaceted challenges encountered by participants as they assumed responsibilities beyond those of regular students. All participants reported significant role strain arising from the need to balance academic requirements with institutiona</w:t>
      </w:r>
      <w:r w:rsidRPr="004543FB">
        <w:rPr>
          <w:rFonts w:ascii="Times New Roman" w:eastAsia="Verdana" w:hAnsi="Times New Roman" w:cs="Times New Roman"/>
          <w:sz w:val="20"/>
          <w:szCs w:val="20"/>
        </w:rPr>
        <w:t>l duties. Student assistants were tasked with clerical, administrative, and service-oriented functions across various offices, often requiring strict adherence to schedules that conflicted with class hours and study time. These overlapping responsibilities</w:t>
      </w:r>
      <w:r w:rsidRPr="004543FB">
        <w:rPr>
          <w:rFonts w:ascii="Times New Roman" w:eastAsia="Verdana" w:hAnsi="Times New Roman" w:cs="Times New Roman"/>
          <w:sz w:val="20"/>
          <w:szCs w:val="20"/>
        </w:rPr>
        <w:t xml:space="preserve"> frequently resulted in physical exhaustion and mental fatigue. Participants described days marked by rushing between classrooms and offices, limited rest, and persistent pressure to meet both academic and work expectations.</w:t>
      </w:r>
    </w:p>
    <w:p w14:paraId="40A7583B"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8" w14:textId="2A5348E0"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Financial hardship emerged as a</w:t>
      </w:r>
      <w:r w:rsidRPr="004543FB">
        <w:rPr>
          <w:rFonts w:ascii="Times New Roman" w:eastAsia="Verdana" w:hAnsi="Times New Roman" w:cs="Times New Roman"/>
          <w:sz w:val="20"/>
          <w:szCs w:val="20"/>
        </w:rPr>
        <w:t xml:space="preserve"> central driver of student employment and a persistent source of stress. Participants came from economically disadvantaged households characterized by unstable income, unemployment, illness, or the loss of a parent. For some, such as those who had delayed </w:t>
      </w:r>
      <w:r w:rsidRPr="004543FB">
        <w:rPr>
          <w:rFonts w:ascii="Times New Roman" w:eastAsia="Verdana" w:hAnsi="Times New Roman" w:cs="Times New Roman"/>
          <w:sz w:val="20"/>
          <w:szCs w:val="20"/>
        </w:rPr>
        <w:t>or altered their academic trajectories due to financial constraints, employment as a student assistant represented the only viable means of continuing their education. The need to contribute to family finances or reduce tuition costs intensified the weight</w:t>
      </w:r>
      <w:r w:rsidRPr="004543FB">
        <w:rPr>
          <w:rFonts w:ascii="Times New Roman" w:eastAsia="Verdana" w:hAnsi="Times New Roman" w:cs="Times New Roman"/>
          <w:sz w:val="20"/>
          <w:szCs w:val="20"/>
        </w:rPr>
        <w:t xml:space="preserve"> of their responsibilities, reinforcing a sense of obligation that extended beyond personal aspirations. Despite these hardships, participants consistently framed their struggles as necessary sacrifices rather than insurmountable barriers.</w:t>
      </w:r>
    </w:p>
    <w:p w14:paraId="581F844D"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9" w14:textId="6C8DB10A"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The second theme</w:t>
      </w:r>
      <w:r w:rsidRPr="004543FB">
        <w:rPr>
          <w:rFonts w:ascii="Times New Roman" w:eastAsia="Verdana" w:hAnsi="Times New Roman" w:cs="Times New Roman"/>
          <w:sz w:val="20"/>
          <w:szCs w:val="20"/>
        </w:rPr>
        <w:t xml:space="preserve">, </w:t>
      </w:r>
      <w:r w:rsidRPr="004543FB">
        <w:rPr>
          <w:rFonts w:ascii="Times New Roman" w:eastAsia="Verdana" w:hAnsi="Times New Roman" w:cs="Times New Roman"/>
          <w:i/>
          <w:iCs/>
          <w:sz w:val="20"/>
          <w:szCs w:val="20"/>
        </w:rPr>
        <w:t>Resilience Through Adaptation and Support</w:t>
      </w:r>
      <w:r w:rsidRPr="004543FB">
        <w:rPr>
          <w:rFonts w:ascii="Times New Roman" w:eastAsia="Verdana" w:hAnsi="Times New Roman" w:cs="Times New Roman"/>
          <w:sz w:val="20"/>
          <w:szCs w:val="20"/>
        </w:rPr>
        <w:t>, highlights how participants responded to these challenges through personal adjustment and reliance on psychosocial support systems. Transitioning from being a regular student to a working student assistant requi</w:t>
      </w:r>
      <w:r w:rsidRPr="004543FB">
        <w:rPr>
          <w:rFonts w:ascii="Times New Roman" w:eastAsia="Verdana" w:hAnsi="Times New Roman" w:cs="Times New Roman"/>
          <w:sz w:val="20"/>
          <w:szCs w:val="20"/>
        </w:rPr>
        <w:t>red substantial adaptation. Participants described initial difficulties adjusting to structured work routines, managing time constraints, and fulfilling expectations in professional settings. Introverted participants, in particular, reported discomfort wit</w:t>
      </w:r>
      <w:r w:rsidRPr="004543FB">
        <w:rPr>
          <w:rFonts w:ascii="Times New Roman" w:eastAsia="Verdana" w:hAnsi="Times New Roman" w:cs="Times New Roman"/>
          <w:sz w:val="20"/>
          <w:szCs w:val="20"/>
        </w:rPr>
        <w:t>h roles that demanded frequent interaction with students, faculty, and staff. However, over time, they consciously adapted by stepping outside their comfort zones, developing communication skills, and learning to navigate institutional environments more co</w:t>
      </w:r>
      <w:r w:rsidRPr="004543FB">
        <w:rPr>
          <w:rFonts w:ascii="Times New Roman" w:eastAsia="Verdana" w:hAnsi="Times New Roman" w:cs="Times New Roman"/>
          <w:sz w:val="20"/>
          <w:szCs w:val="20"/>
        </w:rPr>
        <w:t>nfidently.</w:t>
      </w:r>
    </w:p>
    <w:p w14:paraId="12CDCD4A"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A" w14:textId="1595771F"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Psychosocial support played a crucial role in sustaining participants through periods of stress. Support from family members—such as parents, grandparents, siblings, and extended relatives—provided emotional grounding and motivation. Equally imp</w:t>
      </w:r>
      <w:r w:rsidRPr="004543FB">
        <w:rPr>
          <w:rFonts w:ascii="Times New Roman" w:eastAsia="Verdana" w:hAnsi="Times New Roman" w:cs="Times New Roman"/>
          <w:sz w:val="20"/>
          <w:szCs w:val="20"/>
        </w:rPr>
        <w:t>ortant was the support received within the institution. Participants frequently cited office heads, supervisors, and fellow student assistants as sources of encouragement and validation. Trust and recognition from supervisors fostered confidence and reinfo</w:t>
      </w:r>
      <w:r w:rsidRPr="004543FB">
        <w:rPr>
          <w:rFonts w:ascii="Times New Roman" w:eastAsia="Verdana" w:hAnsi="Times New Roman" w:cs="Times New Roman"/>
          <w:sz w:val="20"/>
          <w:szCs w:val="20"/>
        </w:rPr>
        <w:t>rced participants’ belief in their own capabilities. Peer relationships among student assistants also served as a vital coping mechanism, offering shared understanding, emotional reassurance, and a sense of belonging.</w:t>
      </w:r>
    </w:p>
    <w:p w14:paraId="2207AE90"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B" w14:textId="28EF2ECD"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Coping strategies varied among partici</w:t>
      </w:r>
      <w:r w:rsidRPr="004543FB">
        <w:rPr>
          <w:rFonts w:ascii="Times New Roman" w:eastAsia="Verdana" w:hAnsi="Times New Roman" w:cs="Times New Roman"/>
          <w:sz w:val="20"/>
          <w:szCs w:val="20"/>
        </w:rPr>
        <w:t>pants but were consistently marked by positivity and perseverance. Participants described reframing challenges as opportunities for growth, maintaining optimism despite fatigue, and drawing strength from their long-term goals. Some managed stress by maximi</w:t>
      </w:r>
      <w:r w:rsidRPr="004543FB">
        <w:rPr>
          <w:rFonts w:ascii="Times New Roman" w:eastAsia="Verdana" w:hAnsi="Times New Roman" w:cs="Times New Roman"/>
          <w:sz w:val="20"/>
          <w:szCs w:val="20"/>
        </w:rPr>
        <w:t>zing idle moments for studying, while others relied on emotional expression, prayer, or reflection. Although moments of discouragement were common—sometimes accompanied by tears or thoughts of giving up—participants demonstrated resilience by continuing to</w:t>
      </w:r>
      <w:r w:rsidRPr="004543FB">
        <w:rPr>
          <w:rFonts w:ascii="Times New Roman" w:eastAsia="Verdana" w:hAnsi="Times New Roman" w:cs="Times New Roman"/>
          <w:sz w:val="20"/>
          <w:szCs w:val="20"/>
        </w:rPr>
        <w:t xml:space="preserve"> fulfill their responsibilities and remain committed to their studies.</w:t>
      </w:r>
    </w:p>
    <w:p w14:paraId="7AE344A3"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C"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third theme, </w:t>
      </w:r>
      <w:r w:rsidRPr="004543FB">
        <w:rPr>
          <w:rFonts w:ascii="Times New Roman" w:eastAsia="Verdana" w:hAnsi="Times New Roman" w:cs="Times New Roman"/>
          <w:i/>
          <w:iCs/>
          <w:sz w:val="20"/>
          <w:szCs w:val="20"/>
        </w:rPr>
        <w:t>Holistic Growth Through Responsibility and Purpose</w:t>
      </w:r>
      <w:r w:rsidRPr="004543FB">
        <w:rPr>
          <w:rFonts w:ascii="Times New Roman" w:eastAsia="Verdana" w:hAnsi="Times New Roman" w:cs="Times New Roman"/>
          <w:sz w:val="20"/>
          <w:szCs w:val="20"/>
        </w:rPr>
        <w:t>, reflects the transformative outcomes of participants’ experiences as student assistants. Beyond academic survival, p</w:t>
      </w:r>
      <w:r w:rsidRPr="004543FB">
        <w:rPr>
          <w:rFonts w:ascii="Times New Roman" w:eastAsia="Verdana" w:hAnsi="Times New Roman" w:cs="Times New Roman"/>
          <w:sz w:val="20"/>
          <w:szCs w:val="20"/>
        </w:rPr>
        <w:t>articipants reported significant personal, social, and professional growth. Increased responsibility fostered maturity, self-discipline, and a stronger sense of purpose. Many participants described becoming more confident, independent, and socially engaged</w:t>
      </w:r>
      <w:r w:rsidRPr="004543FB">
        <w:rPr>
          <w:rFonts w:ascii="Times New Roman" w:eastAsia="Verdana" w:hAnsi="Times New Roman" w:cs="Times New Roman"/>
          <w:sz w:val="20"/>
          <w:szCs w:val="20"/>
        </w:rPr>
        <w:t>. Introverted individuals reported notable changes in their ability to communicate, collaborate, and lead, with some eventually assuming leadership roles within student organizations.</w:t>
      </w:r>
    </w:p>
    <w:p w14:paraId="0000002D" w14:textId="03FBF871"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lastRenderedPageBreak/>
        <w:t>Time management emerged as a critical skill developed through necessity.</w:t>
      </w:r>
      <w:r w:rsidRPr="004543FB">
        <w:rPr>
          <w:rFonts w:ascii="Times New Roman" w:eastAsia="Verdana" w:hAnsi="Times New Roman" w:cs="Times New Roman"/>
          <w:sz w:val="20"/>
          <w:szCs w:val="20"/>
        </w:rPr>
        <w:t xml:space="preserve"> Participants learned to prioritize tasks, manage competing deadlines, and use limited time efficiently. These skills were not only essential for balancing work and study but were also perceived as valuable preparation for future professional demands. Expo</w:t>
      </w:r>
      <w:r w:rsidRPr="004543FB">
        <w:rPr>
          <w:rFonts w:ascii="Times New Roman" w:eastAsia="Verdana" w:hAnsi="Times New Roman" w:cs="Times New Roman"/>
          <w:sz w:val="20"/>
          <w:szCs w:val="20"/>
        </w:rPr>
        <w:t>sure to real-world work environments provided participants with practical insights into organizational dynamics, professional etiquette, and service-oriented responsibilities, enhancing their readiness for post-graduation employment.</w:t>
      </w:r>
    </w:p>
    <w:p w14:paraId="7476B415"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E" w14:textId="0EEF46E8"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For some participants,</w:t>
      </w:r>
      <w:r w:rsidRPr="004543FB">
        <w:rPr>
          <w:rFonts w:ascii="Times New Roman" w:eastAsia="Verdana" w:hAnsi="Times New Roman" w:cs="Times New Roman"/>
          <w:sz w:val="20"/>
          <w:szCs w:val="20"/>
        </w:rPr>
        <w:t xml:space="preserve"> growth extended beyond academic and professional domains into spiritual development, particularly within the context of a Catholic educational institution. Participants described finding meaning in service, responsibility, and perseverance, aligning their</w:t>
      </w:r>
      <w:r w:rsidRPr="004543FB">
        <w:rPr>
          <w:rFonts w:ascii="Times New Roman" w:eastAsia="Verdana" w:hAnsi="Times New Roman" w:cs="Times New Roman"/>
          <w:sz w:val="20"/>
          <w:szCs w:val="20"/>
        </w:rPr>
        <w:t xml:space="preserve"> work with institutional values. Serving others—especially students and children who sought assistance—was frequently cited as a source of fulfillment and motivation. This sense of purpose reinforced participants’ commitment to their roles and contributed </w:t>
      </w:r>
      <w:r w:rsidRPr="004543FB">
        <w:rPr>
          <w:rFonts w:ascii="Times New Roman" w:eastAsia="Verdana" w:hAnsi="Times New Roman" w:cs="Times New Roman"/>
          <w:sz w:val="20"/>
          <w:szCs w:val="20"/>
        </w:rPr>
        <w:t>to a deeper appreciation of their educational journey.</w:t>
      </w:r>
    </w:p>
    <w:p w14:paraId="0C7FEC21"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2F" w14:textId="18AB2584"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Overall, the findings illustrate that while the experience of being a student assistant is marked by significant struggle, it also cultivates resilience and holistic growth. Participants’ narratives re</w:t>
      </w:r>
      <w:r w:rsidRPr="004543FB">
        <w:rPr>
          <w:rFonts w:ascii="Times New Roman" w:eastAsia="Verdana" w:hAnsi="Times New Roman" w:cs="Times New Roman"/>
          <w:sz w:val="20"/>
          <w:szCs w:val="20"/>
        </w:rPr>
        <w:t>veal a complex interplay between hardship and empowerment, demonstrating how responsibility, support, and purpose shape the lived experiences of student assistants in higher education.</w:t>
      </w:r>
    </w:p>
    <w:p w14:paraId="78CAF724"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0" w14:textId="4976A7CF" w:rsidR="009D0C2D" w:rsidRDefault="00B74F1D" w:rsidP="004543FB">
      <w:pPr>
        <w:spacing w:line="240" w:lineRule="auto"/>
        <w:jc w:val="both"/>
        <w:rPr>
          <w:rFonts w:ascii="Times New Roman" w:eastAsia="Verdana" w:hAnsi="Times New Roman" w:cs="Times New Roman"/>
          <w:b/>
          <w:bCs/>
          <w:sz w:val="20"/>
          <w:szCs w:val="20"/>
        </w:rPr>
      </w:pPr>
      <w:r w:rsidRPr="004543FB">
        <w:rPr>
          <w:rFonts w:ascii="Times New Roman" w:eastAsia="Verdana" w:hAnsi="Times New Roman" w:cs="Times New Roman"/>
          <w:b/>
          <w:bCs/>
          <w:sz w:val="20"/>
          <w:szCs w:val="20"/>
        </w:rPr>
        <w:t>Discussion and Analysis</w:t>
      </w:r>
    </w:p>
    <w:p w14:paraId="681089D0" w14:textId="77777777" w:rsidR="004543FB" w:rsidRPr="004543FB" w:rsidRDefault="004543FB" w:rsidP="004543FB">
      <w:pPr>
        <w:spacing w:line="240" w:lineRule="auto"/>
        <w:jc w:val="both"/>
        <w:rPr>
          <w:rFonts w:ascii="Times New Roman" w:eastAsia="Verdana" w:hAnsi="Times New Roman" w:cs="Times New Roman"/>
          <w:b/>
          <w:bCs/>
          <w:sz w:val="20"/>
          <w:szCs w:val="20"/>
        </w:rPr>
      </w:pPr>
    </w:p>
    <w:p w14:paraId="00000031" w14:textId="6734DDB7"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The findings of this study illuminate the compl</w:t>
      </w:r>
      <w:r w:rsidRPr="004543FB">
        <w:rPr>
          <w:rFonts w:ascii="Times New Roman" w:eastAsia="Verdana" w:hAnsi="Times New Roman" w:cs="Times New Roman"/>
          <w:sz w:val="20"/>
          <w:szCs w:val="20"/>
        </w:rPr>
        <w:t>ex realities of student assistants who simultaneously carry academic responsibilities and institutional work obligations, revealing that their experiences are best understood as a transition process rather than a single event. Schlossberg’s transition theo</w:t>
      </w:r>
      <w:r w:rsidRPr="004543FB">
        <w:rPr>
          <w:rFonts w:ascii="Times New Roman" w:eastAsia="Verdana" w:hAnsi="Times New Roman" w:cs="Times New Roman"/>
          <w:sz w:val="20"/>
          <w:szCs w:val="20"/>
        </w:rPr>
        <w:t>ry provides a useful lens for interpreting these experiences because it emphasizes how individuals’ perceptions of their transitions, their available supports, their sense of self, and their coping strategies shape how successfully they adapt to change (Mi</w:t>
      </w:r>
      <w:r w:rsidRPr="004543FB">
        <w:rPr>
          <w:rFonts w:ascii="Times New Roman" w:eastAsia="Verdana" w:hAnsi="Times New Roman" w:cs="Times New Roman"/>
          <w:sz w:val="20"/>
          <w:szCs w:val="20"/>
        </w:rPr>
        <w:t>lls et al., 2020). In this study, the participants’ accounts consistently reflected the demands of transition as an ongoing experience—marked by strain, adaptation, and growth—rather than a temporary disruption that ends once routines are established.</w:t>
      </w:r>
    </w:p>
    <w:p w14:paraId="722A9F34"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2" w14:textId="4F95DFE5"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w:t>
      </w:r>
      <w:r w:rsidRPr="004543FB">
        <w:rPr>
          <w:rFonts w:ascii="Times New Roman" w:eastAsia="Verdana" w:hAnsi="Times New Roman" w:cs="Times New Roman"/>
          <w:sz w:val="20"/>
          <w:szCs w:val="20"/>
        </w:rPr>
        <w:t xml:space="preserve">first theme, </w:t>
      </w:r>
      <w:r w:rsidRPr="004543FB">
        <w:rPr>
          <w:rFonts w:ascii="Times New Roman" w:eastAsia="Verdana" w:hAnsi="Times New Roman" w:cs="Times New Roman"/>
          <w:b/>
          <w:bCs/>
          <w:sz w:val="20"/>
          <w:szCs w:val="20"/>
        </w:rPr>
        <w:t>The Struggles of Student Assistants</w:t>
      </w:r>
      <w:r w:rsidRPr="004543FB">
        <w:rPr>
          <w:rFonts w:ascii="Times New Roman" w:eastAsia="Verdana" w:hAnsi="Times New Roman" w:cs="Times New Roman"/>
          <w:sz w:val="20"/>
          <w:szCs w:val="20"/>
        </w:rPr>
        <w:t>, foregrounds how the dual role of being both student and worker introduces persistent pressures that shape everyday functioning. Participants described responsibilities that extended beyond simple assistance</w:t>
      </w:r>
      <w:r w:rsidRPr="004543FB">
        <w:rPr>
          <w:rFonts w:ascii="Times New Roman" w:eastAsia="Verdana" w:hAnsi="Times New Roman" w:cs="Times New Roman"/>
          <w:sz w:val="20"/>
          <w:szCs w:val="20"/>
        </w:rPr>
        <w:t>, including maintaining clean and orderly workspaces, carrying out clerical tasks, managing bookings, preparing office areas, and supporting routine operations. These duties were not trivial: they demanded attentiveness, consistency, and accountability, an</w:t>
      </w:r>
      <w:r w:rsidRPr="004543FB">
        <w:rPr>
          <w:rFonts w:ascii="Times New Roman" w:eastAsia="Verdana" w:hAnsi="Times New Roman" w:cs="Times New Roman"/>
          <w:sz w:val="20"/>
          <w:szCs w:val="20"/>
        </w:rPr>
        <w:t xml:space="preserve">d they required student assistants to meet workplace expectations while also protecting academic performance. In transition terms, these experiences reflect how </w:t>
      </w:r>
      <w:r w:rsidRPr="004543FB">
        <w:rPr>
          <w:rFonts w:ascii="Times New Roman" w:eastAsia="Verdana" w:hAnsi="Times New Roman" w:cs="Times New Roman"/>
          <w:i/>
          <w:iCs/>
          <w:sz w:val="20"/>
          <w:szCs w:val="20"/>
        </w:rPr>
        <w:t>situational demands</w:t>
      </w:r>
      <w:r w:rsidRPr="004543FB">
        <w:rPr>
          <w:rFonts w:ascii="Times New Roman" w:eastAsia="Verdana" w:hAnsi="Times New Roman" w:cs="Times New Roman"/>
          <w:sz w:val="20"/>
          <w:szCs w:val="20"/>
        </w:rPr>
        <w:t xml:space="preserve"> can define the intensity of adjustment and determine whether a transition b</w:t>
      </w:r>
      <w:r w:rsidRPr="004543FB">
        <w:rPr>
          <w:rFonts w:ascii="Times New Roman" w:eastAsia="Verdana" w:hAnsi="Times New Roman" w:cs="Times New Roman"/>
          <w:sz w:val="20"/>
          <w:szCs w:val="20"/>
        </w:rPr>
        <w:t>ecomes manageable or overwhelming (Mills et al., 2020). The participants’ workload also demonstrated how workplace conditions and task structures can influence stress and work experience, with the maintenance of an orderly environment contributing to the s</w:t>
      </w:r>
      <w:r w:rsidRPr="004543FB">
        <w:rPr>
          <w:rFonts w:ascii="Times New Roman" w:eastAsia="Verdana" w:hAnsi="Times New Roman" w:cs="Times New Roman"/>
          <w:sz w:val="20"/>
          <w:szCs w:val="20"/>
        </w:rPr>
        <w:t>ense of structure and functional stability needed to perform effectively. This aligns with the argument that situational factors shape adaptation and morale, since a structured environment can influence well-being and work effectiveness (</w:t>
      </w: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xml:space="preserve">, 2023; </w:t>
      </w:r>
      <w:proofErr w:type="spellStart"/>
      <w:r w:rsidRPr="004543FB">
        <w:rPr>
          <w:rFonts w:ascii="Times New Roman" w:eastAsia="Verdana" w:hAnsi="Times New Roman" w:cs="Times New Roman"/>
          <w:sz w:val="20"/>
          <w:szCs w:val="20"/>
        </w:rPr>
        <w:t>Dial</w:t>
      </w:r>
      <w:r w:rsidRPr="004543FB">
        <w:rPr>
          <w:rFonts w:ascii="Times New Roman" w:eastAsia="Verdana" w:hAnsi="Times New Roman" w:cs="Times New Roman"/>
          <w:sz w:val="20"/>
          <w:szCs w:val="20"/>
        </w:rPr>
        <w:t>e</w:t>
      </w:r>
      <w:proofErr w:type="spellEnd"/>
      <w:r w:rsidRPr="004543FB">
        <w:rPr>
          <w:rFonts w:ascii="Times New Roman" w:eastAsia="Verdana" w:hAnsi="Times New Roman" w:cs="Times New Roman"/>
          <w:sz w:val="20"/>
          <w:szCs w:val="20"/>
        </w:rPr>
        <w:t>, 2022). Moreover, the organizational functions performed by student assistants—such as handling paperwork and coordinating office processes—reflect the importance of clerical support to institutional efficiency, and research likewise associates organizat</w:t>
      </w:r>
      <w:r w:rsidRPr="004543FB">
        <w:rPr>
          <w:rFonts w:ascii="Times New Roman" w:eastAsia="Verdana" w:hAnsi="Times New Roman" w:cs="Times New Roman"/>
          <w:sz w:val="20"/>
          <w:szCs w:val="20"/>
        </w:rPr>
        <w:t>ional practices with improved productivity and engagement in workplace settings (</w:t>
      </w:r>
      <w:proofErr w:type="spellStart"/>
      <w:r w:rsidRPr="004543FB">
        <w:rPr>
          <w:rFonts w:ascii="Times New Roman" w:eastAsia="Verdana" w:hAnsi="Times New Roman" w:cs="Times New Roman"/>
          <w:sz w:val="20"/>
          <w:szCs w:val="20"/>
        </w:rPr>
        <w:t>Muhonen</w:t>
      </w:r>
      <w:proofErr w:type="spellEnd"/>
      <w:r w:rsidRPr="004543FB">
        <w:rPr>
          <w:rFonts w:ascii="Times New Roman" w:eastAsia="Verdana" w:hAnsi="Times New Roman" w:cs="Times New Roman"/>
          <w:sz w:val="20"/>
          <w:szCs w:val="20"/>
        </w:rPr>
        <w:t xml:space="preserve"> &amp; Berthelsen, 2020).</w:t>
      </w:r>
    </w:p>
    <w:p w14:paraId="43BB4436"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3" w14:textId="32B865F0"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However, the most pronounced difficulty under this theme centered on </w:t>
      </w:r>
      <w:r w:rsidRPr="004543FB">
        <w:rPr>
          <w:rFonts w:ascii="Times New Roman" w:eastAsia="Verdana" w:hAnsi="Times New Roman" w:cs="Times New Roman"/>
          <w:b/>
          <w:bCs/>
          <w:sz w:val="20"/>
          <w:szCs w:val="20"/>
        </w:rPr>
        <w:t>balancing duties and priorities</w:t>
      </w:r>
      <w:r w:rsidRPr="004543FB">
        <w:rPr>
          <w:rFonts w:ascii="Times New Roman" w:eastAsia="Verdana" w:hAnsi="Times New Roman" w:cs="Times New Roman"/>
          <w:sz w:val="20"/>
          <w:szCs w:val="20"/>
        </w:rPr>
        <w:t>. Participants reported consistently tight sch</w:t>
      </w:r>
      <w:r w:rsidRPr="004543FB">
        <w:rPr>
          <w:rFonts w:ascii="Times New Roman" w:eastAsia="Verdana" w:hAnsi="Times New Roman" w:cs="Times New Roman"/>
          <w:sz w:val="20"/>
          <w:szCs w:val="20"/>
        </w:rPr>
        <w:t>edules, physical fatigue, and emotional strain due to abrupt transitions between office work and academic commitments, compounded by distance between office locations and classrooms, limited turnover time, and overlapping schedules such as online classes b</w:t>
      </w:r>
      <w:r w:rsidRPr="004543FB">
        <w:rPr>
          <w:rFonts w:ascii="Times New Roman" w:eastAsia="Verdana" w:hAnsi="Times New Roman" w:cs="Times New Roman"/>
          <w:sz w:val="20"/>
          <w:szCs w:val="20"/>
        </w:rPr>
        <w:t>eginning immediately after duty hours. Such conditions created repeated patterns of tardiness, reduced preparation time for quizzes, limited rest, and the need to complete academic tasks after shifts despite exhaustion. Schlossberg’s model helps explain th</w:t>
      </w:r>
      <w:r w:rsidRPr="004543FB">
        <w:rPr>
          <w:rFonts w:ascii="Times New Roman" w:eastAsia="Verdana" w:hAnsi="Times New Roman" w:cs="Times New Roman"/>
          <w:sz w:val="20"/>
          <w:szCs w:val="20"/>
        </w:rPr>
        <w:t>ese difficulties by emphasizing that transitions become more challenging when role demands exceed the resources and strategies available to the individual, and when support systems are insufficient to buffer the strain (Mills et al., 2020). Consistent with</w:t>
      </w:r>
      <w:r w:rsidRPr="004543FB">
        <w:rPr>
          <w:rFonts w:ascii="Times New Roman" w:eastAsia="Verdana" w:hAnsi="Times New Roman" w:cs="Times New Roman"/>
          <w:sz w:val="20"/>
          <w:szCs w:val="20"/>
        </w:rPr>
        <w:t xml:space="preserve"> this, working student assistants have been found to experience compounded burdens related to multitasking, workplace pressures, and transportation constraints that further complicate the balancing of responsibilities (Baja, 2024). Time </w:t>
      </w:r>
      <w:r w:rsidRPr="004543FB">
        <w:rPr>
          <w:rFonts w:ascii="Times New Roman" w:eastAsia="Verdana" w:hAnsi="Times New Roman" w:cs="Times New Roman"/>
          <w:sz w:val="20"/>
          <w:szCs w:val="20"/>
        </w:rPr>
        <w:lastRenderedPageBreak/>
        <w:t>management, in part</w:t>
      </w:r>
      <w:r w:rsidRPr="004543FB">
        <w:rPr>
          <w:rFonts w:ascii="Times New Roman" w:eastAsia="Verdana" w:hAnsi="Times New Roman" w:cs="Times New Roman"/>
          <w:sz w:val="20"/>
          <w:szCs w:val="20"/>
        </w:rPr>
        <w:t>icular, emerged as a recurring struggle that shaped daily stress, consistent with evidence that working student assistants experience persistent difficulty managing multiple roles and commitments (</w:t>
      </w:r>
      <w:proofErr w:type="spellStart"/>
      <w:r w:rsidRPr="004543FB">
        <w:rPr>
          <w:rFonts w:ascii="Times New Roman" w:eastAsia="Verdana" w:hAnsi="Times New Roman" w:cs="Times New Roman"/>
          <w:sz w:val="20"/>
          <w:szCs w:val="20"/>
        </w:rPr>
        <w:t>Pilapil</w:t>
      </w:r>
      <w:proofErr w:type="spellEnd"/>
      <w:r w:rsidRPr="004543FB">
        <w:rPr>
          <w:rFonts w:ascii="Times New Roman" w:eastAsia="Verdana" w:hAnsi="Times New Roman" w:cs="Times New Roman"/>
          <w:sz w:val="20"/>
          <w:szCs w:val="20"/>
        </w:rPr>
        <w:t xml:space="preserve"> &amp; </w:t>
      </w:r>
      <w:proofErr w:type="spellStart"/>
      <w:r w:rsidRPr="004543FB">
        <w:rPr>
          <w:rFonts w:ascii="Times New Roman" w:eastAsia="Verdana" w:hAnsi="Times New Roman" w:cs="Times New Roman"/>
          <w:sz w:val="20"/>
          <w:szCs w:val="20"/>
        </w:rPr>
        <w:t>Cutamora</w:t>
      </w:r>
      <w:proofErr w:type="spellEnd"/>
      <w:r w:rsidRPr="004543FB">
        <w:rPr>
          <w:rFonts w:ascii="Times New Roman" w:eastAsia="Verdana" w:hAnsi="Times New Roman" w:cs="Times New Roman"/>
          <w:sz w:val="20"/>
          <w:szCs w:val="20"/>
        </w:rPr>
        <w:t>, 2025). Yet, the literature also suggest</w:t>
      </w:r>
      <w:r w:rsidRPr="004543FB">
        <w:rPr>
          <w:rFonts w:ascii="Times New Roman" w:eastAsia="Verdana" w:hAnsi="Times New Roman" w:cs="Times New Roman"/>
          <w:sz w:val="20"/>
          <w:szCs w:val="20"/>
        </w:rPr>
        <w:t xml:space="preserve">s that institutional conditions can improve this experience: workplace teamwork, training, placement, and communication strengthen students’ commitment to higher education institutions, implying that structures and interpersonal supports can reduce strain </w:t>
      </w:r>
      <w:r w:rsidRPr="004543FB">
        <w:rPr>
          <w:rFonts w:ascii="Times New Roman" w:eastAsia="Verdana" w:hAnsi="Times New Roman" w:cs="Times New Roman"/>
          <w:sz w:val="20"/>
          <w:szCs w:val="20"/>
        </w:rPr>
        <w:t>and foster engagement even under demanding conditions (</w:t>
      </w:r>
      <w:proofErr w:type="spellStart"/>
      <w:r w:rsidRPr="004543FB">
        <w:rPr>
          <w:rFonts w:ascii="Times New Roman" w:eastAsia="Verdana" w:hAnsi="Times New Roman" w:cs="Times New Roman"/>
          <w:sz w:val="20"/>
          <w:szCs w:val="20"/>
        </w:rPr>
        <w:t>Alvi</w:t>
      </w:r>
      <w:proofErr w:type="spellEnd"/>
      <w:r w:rsidRPr="004543FB">
        <w:rPr>
          <w:rFonts w:ascii="Times New Roman" w:eastAsia="Verdana" w:hAnsi="Times New Roman" w:cs="Times New Roman"/>
          <w:sz w:val="20"/>
          <w:szCs w:val="20"/>
        </w:rPr>
        <w:t xml:space="preserve"> &amp; Sharma, 2021).</w:t>
      </w:r>
    </w:p>
    <w:p w14:paraId="672B71C4"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4" w14:textId="2EB0FD93"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Financial hardship—captured in the cluster on </w:t>
      </w:r>
      <w:r w:rsidRPr="004543FB">
        <w:rPr>
          <w:rFonts w:ascii="Times New Roman" w:eastAsia="Verdana" w:hAnsi="Times New Roman" w:cs="Times New Roman"/>
          <w:b/>
          <w:bCs/>
          <w:sz w:val="20"/>
          <w:szCs w:val="20"/>
        </w:rPr>
        <w:t>financial challenges</w:t>
      </w:r>
      <w:r w:rsidRPr="004543FB">
        <w:rPr>
          <w:rFonts w:ascii="Times New Roman" w:eastAsia="Verdana" w:hAnsi="Times New Roman" w:cs="Times New Roman"/>
          <w:sz w:val="20"/>
          <w:szCs w:val="20"/>
        </w:rPr>
        <w:t>—was not only a background condition but a decisive factor that shaped participants’ entry into assistantship and sustained their commitment despite strain. Participants described joining the program primarily because parents could not reliably finance tui</w:t>
      </w:r>
      <w:r w:rsidRPr="004543FB">
        <w:rPr>
          <w:rFonts w:ascii="Times New Roman" w:eastAsia="Verdana" w:hAnsi="Times New Roman" w:cs="Times New Roman"/>
          <w:sz w:val="20"/>
          <w:szCs w:val="20"/>
        </w:rPr>
        <w:t>tion and expenses, and assistantship became a practical pathway to remain enrolled. Within Schlossberg’s framework, such circumstances highlight how transitions are shaped by the availability of material resources and support systems that enable individual</w:t>
      </w:r>
      <w:r w:rsidRPr="004543FB">
        <w:rPr>
          <w:rFonts w:ascii="Times New Roman" w:eastAsia="Verdana" w:hAnsi="Times New Roman" w:cs="Times New Roman"/>
          <w:sz w:val="20"/>
          <w:szCs w:val="20"/>
        </w:rPr>
        <w:t xml:space="preserve">s to endure change. Yet, financial necessity also intensified academic pressure, particularly because sustaining assistantship and scholarship benefits often requires maintaining academic standing. This aligns with findings showing that student assistants </w:t>
      </w:r>
      <w:r w:rsidRPr="004543FB">
        <w:rPr>
          <w:rFonts w:ascii="Times New Roman" w:eastAsia="Verdana" w:hAnsi="Times New Roman" w:cs="Times New Roman"/>
          <w:sz w:val="20"/>
          <w:szCs w:val="20"/>
        </w:rPr>
        <w:t>often depend on scholarship mechanisms and therefore experience added pressure to maintain performance while fulfilling work obligations (</w:t>
      </w:r>
      <w:proofErr w:type="spellStart"/>
      <w:r w:rsidRPr="004543FB">
        <w:rPr>
          <w:rFonts w:ascii="Times New Roman" w:eastAsia="Verdana" w:hAnsi="Times New Roman" w:cs="Times New Roman"/>
          <w:sz w:val="20"/>
          <w:szCs w:val="20"/>
        </w:rPr>
        <w:t>Cabili</w:t>
      </w:r>
      <w:proofErr w:type="spellEnd"/>
      <w:r w:rsidRPr="004543FB">
        <w:rPr>
          <w:rFonts w:ascii="Times New Roman" w:eastAsia="Verdana" w:hAnsi="Times New Roman" w:cs="Times New Roman"/>
          <w:sz w:val="20"/>
          <w:szCs w:val="20"/>
        </w:rPr>
        <w:t xml:space="preserve"> et al., 2020). Consistent with Philippine-based evidence, students commonly work to support underprivileged fam</w:t>
      </w:r>
      <w:r w:rsidRPr="004543FB">
        <w:rPr>
          <w:rFonts w:ascii="Times New Roman" w:eastAsia="Verdana" w:hAnsi="Times New Roman" w:cs="Times New Roman"/>
          <w:sz w:val="20"/>
          <w:szCs w:val="20"/>
        </w:rPr>
        <w:t>ilies, sustain school expenses, and compensate for absent financial support related to unemployment, illness, or death—patterns that mirror the circumstances described by the participants in this study (</w:t>
      </w:r>
      <w:proofErr w:type="spellStart"/>
      <w:r w:rsidRPr="004543FB">
        <w:rPr>
          <w:rFonts w:ascii="Times New Roman" w:eastAsia="Verdana" w:hAnsi="Times New Roman" w:cs="Times New Roman"/>
          <w:sz w:val="20"/>
          <w:szCs w:val="20"/>
        </w:rPr>
        <w:t>Balacuit</w:t>
      </w:r>
      <w:proofErr w:type="spellEnd"/>
      <w:r w:rsidRPr="004543FB">
        <w:rPr>
          <w:rFonts w:ascii="Times New Roman" w:eastAsia="Verdana" w:hAnsi="Times New Roman" w:cs="Times New Roman"/>
          <w:sz w:val="20"/>
          <w:szCs w:val="20"/>
        </w:rPr>
        <w:t xml:space="preserve"> &amp; </w:t>
      </w:r>
      <w:proofErr w:type="spellStart"/>
      <w:r w:rsidRPr="004543FB">
        <w:rPr>
          <w:rFonts w:ascii="Times New Roman" w:eastAsia="Verdana" w:hAnsi="Times New Roman" w:cs="Times New Roman"/>
          <w:sz w:val="20"/>
          <w:szCs w:val="20"/>
        </w:rPr>
        <w:t>Lopio</w:t>
      </w:r>
      <w:proofErr w:type="spellEnd"/>
      <w:r w:rsidRPr="004543FB">
        <w:rPr>
          <w:rFonts w:ascii="Times New Roman" w:eastAsia="Verdana" w:hAnsi="Times New Roman" w:cs="Times New Roman"/>
          <w:sz w:val="20"/>
          <w:szCs w:val="20"/>
        </w:rPr>
        <w:t>, 2022). At the same time, some parti</w:t>
      </w:r>
      <w:r w:rsidRPr="004543FB">
        <w:rPr>
          <w:rFonts w:ascii="Times New Roman" w:eastAsia="Verdana" w:hAnsi="Times New Roman" w:cs="Times New Roman"/>
          <w:sz w:val="20"/>
          <w:szCs w:val="20"/>
        </w:rPr>
        <w:t>cipants framed assistantship as an opportunity for self-development and future employability, echoing evidence that student assistants often undertake diverse tasks not only for financial support but also to develop skills and gain real-world exposure (</w:t>
      </w:r>
      <w:proofErr w:type="spellStart"/>
      <w:r w:rsidRPr="004543FB">
        <w:rPr>
          <w:rFonts w:ascii="Times New Roman" w:eastAsia="Verdana" w:hAnsi="Times New Roman" w:cs="Times New Roman"/>
          <w:sz w:val="20"/>
          <w:szCs w:val="20"/>
        </w:rPr>
        <w:t>Tum</w:t>
      </w:r>
      <w:r w:rsidRPr="004543FB">
        <w:rPr>
          <w:rFonts w:ascii="Times New Roman" w:eastAsia="Verdana" w:hAnsi="Times New Roman" w:cs="Times New Roman"/>
          <w:sz w:val="20"/>
          <w:szCs w:val="20"/>
        </w:rPr>
        <w:t>in</w:t>
      </w:r>
      <w:proofErr w:type="spellEnd"/>
      <w:r w:rsidRPr="004543FB">
        <w:rPr>
          <w:rFonts w:ascii="Times New Roman" w:eastAsia="Verdana" w:hAnsi="Times New Roman" w:cs="Times New Roman"/>
          <w:sz w:val="20"/>
          <w:szCs w:val="20"/>
        </w:rPr>
        <w:t xml:space="preserve"> et al., 2020).</w:t>
      </w:r>
    </w:p>
    <w:p w14:paraId="56FCAC7E"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5" w14:textId="3C268D84"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second theme, </w:t>
      </w:r>
      <w:r w:rsidRPr="004543FB">
        <w:rPr>
          <w:rFonts w:ascii="Times New Roman" w:eastAsia="Verdana" w:hAnsi="Times New Roman" w:cs="Times New Roman"/>
          <w:b/>
          <w:bCs/>
          <w:sz w:val="20"/>
          <w:szCs w:val="20"/>
        </w:rPr>
        <w:t>Resilience Through Adaptability and Support</w:t>
      </w:r>
      <w:r w:rsidRPr="004543FB">
        <w:rPr>
          <w:rFonts w:ascii="Times New Roman" w:eastAsia="Verdana" w:hAnsi="Times New Roman" w:cs="Times New Roman"/>
          <w:sz w:val="20"/>
          <w:szCs w:val="20"/>
        </w:rPr>
        <w:t>, demonstrates how participants actively responded to the pressures of transition through adjustment and relational support. Participants’ early experiences as student assistant</w:t>
      </w:r>
      <w:r w:rsidRPr="004543FB">
        <w:rPr>
          <w:rFonts w:ascii="Times New Roman" w:eastAsia="Verdana" w:hAnsi="Times New Roman" w:cs="Times New Roman"/>
          <w:sz w:val="20"/>
          <w:szCs w:val="20"/>
        </w:rPr>
        <w:t>s were often characterized by overwhelm, uncertainty, and doubt, particularly because many had no prior experience managing work and study simultaneously. This initial phase aligns with transition literature describing how early transition periods are ofte</w:t>
      </w:r>
      <w:r w:rsidRPr="004543FB">
        <w:rPr>
          <w:rFonts w:ascii="Times New Roman" w:eastAsia="Verdana" w:hAnsi="Times New Roman" w:cs="Times New Roman"/>
          <w:sz w:val="20"/>
          <w:szCs w:val="20"/>
        </w:rPr>
        <w:t>n marked by stress, anxiety, and a destabilizing shift in identity and routine. Research similarly notes that balancing academic demands with applied workplace responsibilities can heighten stress and contribute to burnout when students feel unprepared for</w:t>
      </w:r>
      <w:r w:rsidRPr="004543FB">
        <w:rPr>
          <w:rFonts w:ascii="Times New Roman" w:eastAsia="Verdana" w:hAnsi="Times New Roman" w:cs="Times New Roman"/>
          <w:sz w:val="20"/>
          <w:szCs w:val="20"/>
        </w:rPr>
        <w:t xml:space="preserve"> expectations, underscoring the importance of support systems that scaffold adjustment and reduce overload (</w:t>
      </w:r>
      <w:proofErr w:type="spellStart"/>
      <w:r w:rsidRPr="004543FB">
        <w:rPr>
          <w:rFonts w:ascii="Times New Roman" w:eastAsia="Verdana" w:hAnsi="Times New Roman" w:cs="Times New Roman"/>
          <w:sz w:val="20"/>
          <w:szCs w:val="20"/>
        </w:rPr>
        <w:t>Scheef</w:t>
      </w:r>
      <w:proofErr w:type="spellEnd"/>
      <w:r w:rsidRPr="004543FB">
        <w:rPr>
          <w:rFonts w:ascii="Times New Roman" w:eastAsia="Verdana" w:hAnsi="Times New Roman" w:cs="Times New Roman"/>
          <w:sz w:val="20"/>
          <w:szCs w:val="20"/>
        </w:rPr>
        <w:t>, 2019). Students juggling multiple roles often experience heightened anxiety during early transition phases, even as they may later develop r</w:t>
      </w:r>
      <w:r w:rsidRPr="004543FB">
        <w:rPr>
          <w:rFonts w:ascii="Times New Roman" w:eastAsia="Verdana" w:hAnsi="Times New Roman" w:cs="Times New Roman"/>
          <w:sz w:val="20"/>
          <w:szCs w:val="20"/>
        </w:rPr>
        <w:t>esilience and management skills through adaptation (</w:t>
      </w:r>
      <w:proofErr w:type="spellStart"/>
      <w:r w:rsidRPr="004543FB">
        <w:rPr>
          <w:rFonts w:ascii="Times New Roman" w:eastAsia="Verdana" w:hAnsi="Times New Roman" w:cs="Times New Roman"/>
          <w:sz w:val="20"/>
          <w:szCs w:val="20"/>
        </w:rPr>
        <w:t>Heuse</w:t>
      </w:r>
      <w:proofErr w:type="spellEnd"/>
      <w:r w:rsidRPr="004543FB">
        <w:rPr>
          <w:rFonts w:ascii="Times New Roman" w:eastAsia="Verdana" w:hAnsi="Times New Roman" w:cs="Times New Roman"/>
          <w:sz w:val="20"/>
          <w:szCs w:val="20"/>
        </w:rPr>
        <w:t xml:space="preserve"> et al., 2020). In the present study, participants’ accounts reflect this movement from disorientation toward adjustment, with several describing that routines eventually became manageable as they le</w:t>
      </w:r>
      <w:r w:rsidRPr="004543FB">
        <w:rPr>
          <w:rFonts w:ascii="Times New Roman" w:eastAsia="Verdana" w:hAnsi="Times New Roman" w:cs="Times New Roman"/>
          <w:sz w:val="20"/>
          <w:szCs w:val="20"/>
        </w:rPr>
        <w:t>arned the work and gradually gained autonomy.</w:t>
      </w:r>
    </w:p>
    <w:p w14:paraId="2E0FCC42"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6" w14:textId="3BFC1326"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Psychosocial support emerged as a decisive protective factor throughout this adaptation process. Participants highlighted the importance of supportive office heads who were understanding of academic obligations</w:t>
      </w:r>
      <w:r w:rsidRPr="004543FB">
        <w:rPr>
          <w:rFonts w:ascii="Times New Roman" w:eastAsia="Verdana" w:hAnsi="Times New Roman" w:cs="Times New Roman"/>
          <w:sz w:val="20"/>
          <w:szCs w:val="20"/>
        </w:rPr>
        <w:t>, allowed flexibility during lull periods, and provided guidance when office concerns arose. Family support—particularly from caregivers such as grandparents or extended family—served as another stabilizing foundation that sustained motivation, emotional r</w:t>
      </w:r>
      <w:r w:rsidRPr="004543FB">
        <w:rPr>
          <w:rFonts w:ascii="Times New Roman" w:eastAsia="Verdana" w:hAnsi="Times New Roman" w:cs="Times New Roman"/>
          <w:sz w:val="20"/>
          <w:szCs w:val="20"/>
        </w:rPr>
        <w:t>egulation, and persistence. Such findings are consistent with evidence that support groups and supportive relationships enhance resilience by providing opportunities to share coping strategies and reduce isolation (</w:t>
      </w:r>
      <w:proofErr w:type="spellStart"/>
      <w:r w:rsidRPr="004543FB">
        <w:rPr>
          <w:rFonts w:ascii="Times New Roman" w:eastAsia="Verdana" w:hAnsi="Times New Roman" w:cs="Times New Roman"/>
          <w:sz w:val="20"/>
          <w:szCs w:val="20"/>
        </w:rPr>
        <w:t>Montaño</w:t>
      </w:r>
      <w:proofErr w:type="spellEnd"/>
      <w:r w:rsidRPr="004543FB">
        <w:rPr>
          <w:rFonts w:ascii="Times New Roman" w:eastAsia="Verdana" w:hAnsi="Times New Roman" w:cs="Times New Roman"/>
          <w:sz w:val="20"/>
          <w:szCs w:val="20"/>
        </w:rPr>
        <w:t xml:space="preserve"> &amp; Francisco, 2024). Similarly, fa</w:t>
      </w:r>
      <w:r w:rsidRPr="004543FB">
        <w:rPr>
          <w:rFonts w:ascii="Times New Roman" w:eastAsia="Verdana" w:hAnsi="Times New Roman" w:cs="Times New Roman"/>
          <w:sz w:val="20"/>
          <w:szCs w:val="20"/>
        </w:rPr>
        <w:t>mily support can foster emotional stability and strengthen resilience among students navigating complex role demands. In higher education contexts, social and institutional support also improves student assistants’ experiences by strengthening role managem</w:t>
      </w:r>
      <w:r w:rsidRPr="004543FB">
        <w:rPr>
          <w:rFonts w:ascii="Times New Roman" w:eastAsia="Verdana" w:hAnsi="Times New Roman" w:cs="Times New Roman"/>
          <w:sz w:val="20"/>
          <w:szCs w:val="20"/>
        </w:rPr>
        <w:t xml:space="preserve">ent and supporting academic performance, contributing to broader enrichment within school and social settings (Andrade &amp; </w:t>
      </w:r>
      <w:proofErr w:type="spellStart"/>
      <w:r w:rsidRPr="004543FB">
        <w:rPr>
          <w:rFonts w:ascii="Times New Roman" w:eastAsia="Verdana" w:hAnsi="Times New Roman" w:cs="Times New Roman"/>
          <w:sz w:val="20"/>
          <w:szCs w:val="20"/>
        </w:rPr>
        <w:t>Fernandes</w:t>
      </w:r>
      <w:proofErr w:type="spellEnd"/>
      <w:r w:rsidRPr="004543FB">
        <w:rPr>
          <w:rFonts w:ascii="Times New Roman" w:eastAsia="Verdana" w:hAnsi="Times New Roman" w:cs="Times New Roman"/>
          <w:sz w:val="20"/>
          <w:szCs w:val="20"/>
        </w:rPr>
        <w:t xml:space="preserve">, 2023). These patterns align directly with Schlossberg’s emphasis on </w:t>
      </w:r>
      <w:r w:rsidRPr="004543FB">
        <w:rPr>
          <w:rFonts w:ascii="Times New Roman" w:eastAsia="Verdana" w:hAnsi="Times New Roman" w:cs="Times New Roman"/>
          <w:i/>
          <w:iCs/>
          <w:sz w:val="20"/>
          <w:szCs w:val="20"/>
        </w:rPr>
        <w:t>support</w:t>
      </w:r>
      <w:r w:rsidRPr="004543FB">
        <w:rPr>
          <w:rFonts w:ascii="Times New Roman" w:eastAsia="Verdana" w:hAnsi="Times New Roman" w:cs="Times New Roman"/>
          <w:sz w:val="20"/>
          <w:szCs w:val="20"/>
        </w:rPr>
        <w:t xml:space="preserve"> as a key resource in transition management, shap</w:t>
      </w:r>
      <w:r w:rsidRPr="004543FB">
        <w:rPr>
          <w:rFonts w:ascii="Times New Roman" w:eastAsia="Verdana" w:hAnsi="Times New Roman" w:cs="Times New Roman"/>
          <w:sz w:val="20"/>
          <w:szCs w:val="20"/>
        </w:rPr>
        <w:t>ing whether individuals experience transitions as destabilizing or developmentally meaningful.</w:t>
      </w:r>
    </w:p>
    <w:p w14:paraId="50777AF6"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7" w14:textId="0D80A590"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Participants’ narratives also demonstrated that resilience was not passive; it was enacted through </w:t>
      </w:r>
      <w:r w:rsidRPr="004543FB">
        <w:rPr>
          <w:rFonts w:ascii="Times New Roman" w:eastAsia="Verdana" w:hAnsi="Times New Roman" w:cs="Times New Roman"/>
          <w:b/>
          <w:bCs/>
          <w:sz w:val="20"/>
          <w:szCs w:val="20"/>
        </w:rPr>
        <w:t>coping and positivity amid stress</w:t>
      </w:r>
      <w:r w:rsidRPr="004543FB">
        <w:rPr>
          <w:rFonts w:ascii="Times New Roman" w:eastAsia="Verdana" w:hAnsi="Times New Roman" w:cs="Times New Roman"/>
          <w:sz w:val="20"/>
          <w:szCs w:val="20"/>
        </w:rPr>
        <w:t>, often through practical str</w:t>
      </w:r>
      <w:r w:rsidRPr="004543FB">
        <w:rPr>
          <w:rFonts w:ascii="Times New Roman" w:eastAsia="Verdana" w:hAnsi="Times New Roman" w:cs="Times New Roman"/>
          <w:sz w:val="20"/>
          <w:szCs w:val="20"/>
        </w:rPr>
        <w:t>ategies and personal meaning-making. Students described studying during light office tasks, reviewing while commuting, asking guidance from supervisors when problems emerged, and using hobbies such as dancing to regulate stress and improve sleep. Others de</w:t>
      </w:r>
      <w:r w:rsidRPr="004543FB">
        <w:rPr>
          <w:rFonts w:ascii="Times New Roman" w:eastAsia="Verdana" w:hAnsi="Times New Roman" w:cs="Times New Roman"/>
          <w:sz w:val="20"/>
          <w:szCs w:val="20"/>
        </w:rPr>
        <w:t xml:space="preserve">scribed deliberate positive thinking and self-talk to manage pressure during quizzes and deadlines. These practices reflect Schlossberg’s emphasis on </w:t>
      </w:r>
      <w:r w:rsidRPr="004543FB">
        <w:rPr>
          <w:rFonts w:ascii="Times New Roman" w:eastAsia="Verdana" w:hAnsi="Times New Roman" w:cs="Times New Roman"/>
          <w:i/>
          <w:iCs/>
          <w:sz w:val="20"/>
          <w:szCs w:val="20"/>
        </w:rPr>
        <w:lastRenderedPageBreak/>
        <w:t>strategies</w:t>
      </w:r>
      <w:r w:rsidRPr="004543FB">
        <w:rPr>
          <w:rFonts w:ascii="Times New Roman" w:eastAsia="Verdana" w:hAnsi="Times New Roman" w:cs="Times New Roman"/>
          <w:sz w:val="20"/>
          <w:szCs w:val="20"/>
        </w:rPr>
        <w:t>—the coping methods and behavioral adjustments individuals use to manage transitional demands—an</w:t>
      </w:r>
      <w:r w:rsidRPr="004543FB">
        <w:rPr>
          <w:rFonts w:ascii="Times New Roman" w:eastAsia="Verdana" w:hAnsi="Times New Roman" w:cs="Times New Roman"/>
          <w:sz w:val="20"/>
          <w:szCs w:val="20"/>
        </w:rPr>
        <w:t>d they parallel findings that structured coping approaches support students’ adjustment across identity and role transitions (</w:t>
      </w: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2023). Wider evidence likewise indicates that students benefit from planning and prioritizing, taking breaks, practicing m</w:t>
      </w:r>
      <w:r w:rsidRPr="004543FB">
        <w:rPr>
          <w:rFonts w:ascii="Times New Roman" w:eastAsia="Verdana" w:hAnsi="Times New Roman" w:cs="Times New Roman"/>
          <w:sz w:val="20"/>
          <w:szCs w:val="20"/>
        </w:rPr>
        <w:t>indfulness, setting realistic goals, maintaining healthy routines, using institutional resources, and engaging in hobbies—strategies that support sustained motivation and resilience under stress (Islam &amp; Rabbi, 2024). At the same time, stress management st</w:t>
      </w:r>
      <w:r w:rsidRPr="004543FB">
        <w:rPr>
          <w:rFonts w:ascii="Times New Roman" w:eastAsia="Verdana" w:hAnsi="Times New Roman" w:cs="Times New Roman"/>
          <w:sz w:val="20"/>
          <w:szCs w:val="20"/>
        </w:rPr>
        <w:t>rategies may differ depending on stress resistance, with some students adopting more adaptive coping mechanisms than others (</w:t>
      </w:r>
      <w:proofErr w:type="spellStart"/>
      <w:r w:rsidRPr="004543FB">
        <w:rPr>
          <w:rFonts w:ascii="Times New Roman" w:eastAsia="Verdana" w:hAnsi="Times New Roman" w:cs="Times New Roman"/>
          <w:sz w:val="20"/>
          <w:szCs w:val="20"/>
        </w:rPr>
        <w:t>Affum</w:t>
      </w:r>
      <w:proofErr w:type="spellEnd"/>
      <w:r w:rsidRPr="004543FB">
        <w:rPr>
          <w:rFonts w:ascii="Times New Roman" w:eastAsia="Verdana" w:hAnsi="Times New Roman" w:cs="Times New Roman"/>
          <w:sz w:val="20"/>
          <w:szCs w:val="20"/>
        </w:rPr>
        <w:t xml:space="preserve"> et al., 2023). Taken together, these findings highlight the importance of strengthening healthy coping strategies so that stu</w:t>
      </w:r>
      <w:r w:rsidRPr="004543FB">
        <w:rPr>
          <w:rFonts w:ascii="Times New Roman" w:eastAsia="Verdana" w:hAnsi="Times New Roman" w:cs="Times New Roman"/>
          <w:sz w:val="20"/>
          <w:szCs w:val="20"/>
        </w:rPr>
        <w:t>dent assistants can meet role demands without sacrificing well-being.</w:t>
      </w:r>
    </w:p>
    <w:p w14:paraId="1B5C3BDD"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8" w14:textId="64859F61"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The third theme, </w:t>
      </w:r>
      <w:r w:rsidRPr="004543FB">
        <w:rPr>
          <w:rFonts w:ascii="Times New Roman" w:eastAsia="Verdana" w:hAnsi="Times New Roman" w:cs="Times New Roman"/>
          <w:b/>
          <w:bCs/>
          <w:sz w:val="20"/>
          <w:szCs w:val="20"/>
        </w:rPr>
        <w:t>Holistic Growth Through Responsibilities and Purpose</w:t>
      </w:r>
      <w:r w:rsidRPr="004543FB">
        <w:rPr>
          <w:rFonts w:ascii="Times New Roman" w:eastAsia="Verdana" w:hAnsi="Times New Roman" w:cs="Times New Roman"/>
          <w:sz w:val="20"/>
          <w:szCs w:val="20"/>
        </w:rPr>
        <w:t xml:space="preserve">, reveals that the assistantship experience did not only produce hardship; it also catalyzed personal transformation </w:t>
      </w:r>
      <w:r w:rsidRPr="004543FB">
        <w:rPr>
          <w:rFonts w:ascii="Times New Roman" w:eastAsia="Verdana" w:hAnsi="Times New Roman" w:cs="Times New Roman"/>
          <w:sz w:val="20"/>
          <w:szCs w:val="20"/>
        </w:rPr>
        <w:t>across social, academic, professional, and spiritual domains. Schlossberg’s transition theory suggests that transitions can become developmental when individuals are able to draw from personal strengths and contextual resources to adapt, integrate new role</w:t>
      </w:r>
      <w:r w:rsidRPr="004543FB">
        <w:rPr>
          <w:rFonts w:ascii="Times New Roman" w:eastAsia="Verdana" w:hAnsi="Times New Roman" w:cs="Times New Roman"/>
          <w:sz w:val="20"/>
          <w:szCs w:val="20"/>
        </w:rPr>
        <w:t>s, and construct meaning from their experiences (</w:t>
      </w: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2023). In this study, participants’ narratives reflected precisely this pattern: as they navigated competing demands, they developed interpersonal competencies, time management skills, work readiness</w:t>
      </w:r>
      <w:r w:rsidRPr="004543FB">
        <w:rPr>
          <w:rFonts w:ascii="Times New Roman" w:eastAsia="Verdana" w:hAnsi="Times New Roman" w:cs="Times New Roman"/>
          <w:sz w:val="20"/>
          <w:szCs w:val="20"/>
        </w:rPr>
        <w:t>, and a strengthened sense of purpose.</w:t>
      </w:r>
    </w:p>
    <w:p w14:paraId="75403ECD"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9" w14:textId="5CEFFB90"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A prominent dimension of holistic growth was </w:t>
      </w:r>
      <w:r w:rsidRPr="004543FB">
        <w:rPr>
          <w:rFonts w:ascii="Times New Roman" w:eastAsia="Verdana" w:hAnsi="Times New Roman" w:cs="Times New Roman"/>
          <w:b/>
          <w:bCs/>
          <w:sz w:val="20"/>
          <w:szCs w:val="20"/>
        </w:rPr>
        <w:t>personal and social development</w:t>
      </w:r>
      <w:r w:rsidRPr="004543FB">
        <w:rPr>
          <w:rFonts w:ascii="Times New Roman" w:eastAsia="Verdana" w:hAnsi="Times New Roman" w:cs="Times New Roman"/>
          <w:sz w:val="20"/>
          <w:szCs w:val="20"/>
        </w:rPr>
        <w:t>, particularly among participants who initially described themselves as shy, reserved, or socially withdrawn. Through constant workplace inte</w:t>
      </w:r>
      <w:r w:rsidRPr="004543FB">
        <w:rPr>
          <w:rFonts w:ascii="Times New Roman" w:eastAsia="Verdana" w:hAnsi="Times New Roman" w:cs="Times New Roman"/>
          <w:sz w:val="20"/>
          <w:szCs w:val="20"/>
        </w:rPr>
        <w:t>raction with students, faculty, staff, and fellow assistants, participants gradually learned to communicate more confidently and engage more openly in their social environment. Schlossberg’s framework supports this shift by emphasizing adaptation as the in</w:t>
      </w:r>
      <w:r w:rsidRPr="004543FB">
        <w:rPr>
          <w:rFonts w:ascii="Times New Roman" w:eastAsia="Verdana" w:hAnsi="Times New Roman" w:cs="Times New Roman"/>
          <w:sz w:val="20"/>
          <w:szCs w:val="20"/>
        </w:rPr>
        <w:t xml:space="preserve">tegration of new experiences into one’s life rather than remaining preoccupied with disruption, suggesting that engagement and participation signal movement toward adjustment (Gray et al., 2022; </w:t>
      </w: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2023). This aligns with evidence that challenging tra</w:t>
      </w:r>
      <w:r w:rsidRPr="004543FB">
        <w:rPr>
          <w:rFonts w:ascii="Times New Roman" w:eastAsia="Verdana" w:hAnsi="Times New Roman" w:cs="Times New Roman"/>
          <w:sz w:val="20"/>
          <w:szCs w:val="20"/>
        </w:rPr>
        <w:t>nsitions can foster resilience when individuals reinterpret difficulties as opportunities for growth (</w:t>
      </w:r>
      <w:proofErr w:type="spellStart"/>
      <w:r w:rsidRPr="004543FB">
        <w:rPr>
          <w:rFonts w:ascii="Times New Roman" w:eastAsia="Verdana" w:hAnsi="Times New Roman" w:cs="Times New Roman"/>
          <w:sz w:val="20"/>
          <w:szCs w:val="20"/>
        </w:rPr>
        <w:t>Patka</w:t>
      </w:r>
      <w:proofErr w:type="spellEnd"/>
      <w:r w:rsidRPr="004543FB">
        <w:rPr>
          <w:rFonts w:ascii="Times New Roman" w:eastAsia="Verdana" w:hAnsi="Times New Roman" w:cs="Times New Roman"/>
          <w:sz w:val="20"/>
          <w:szCs w:val="20"/>
        </w:rPr>
        <w:t xml:space="preserve"> et al., 2021). Additionally, assistantship appears to strengthen belongingness and the development of values such as collaboration and accountabilit</w:t>
      </w:r>
      <w:r w:rsidRPr="004543FB">
        <w:rPr>
          <w:rFonts w:ascii="Times New Roman" w:eastAsia="Verdana" w:hAnsi="Times New Roman" w:cs="Times New Roman"/>
          <w:sz w:val="20"/>
          <w:szCs w:val="20"/>
        </w:rPr>
        <w:t>y, consistent with literature noting that supportive networks and social integration contribute to emotional resilience and more stable adjustment during transitions (</w:t>
      </w:r>
      <w:proofErr w:type="spellStart"/>
      <w:r w:rsidRPr="004543FB">
        <w:rPr>
          <w:rFonts w:ascii="Times New Roman" w:eastAsia="Verdana" w:hAnsi="Times New Roman" w:cs="Times New Roman"/>
          <w:sz w:val="20"/>
          <w:szCs w:val="20"/>
        </w:rPr>
        <w:t>Diale</w:t>
      </w:r>
      <w:proofErr w:type="spellEnd"/>
      <w:r w:rsidRPr="004543FB">
        <w:rPr>
          <w:rFonts w:ascii="Times New Roman" w:eastAsia="Verdana" w:hAnsi="Times New Roman" w:cs="Times New Roman"/>
          <w:sz w:val="20"/>
          <w:szCs w:val="20"/>
        </w:rPr>
        <w:t xml:space="preserve">, 2022; </w:t>
      </w:r>
      <w:proofErr w:type="spellStart"/>
      <w:r w:rsidRPr="004543FB">
        <w:rPr>
          <w:rFonts w:ascii="Times New Roman" w:eastAsia="Verdana" w:hAnsi="Times New Roman" w:cs="Times New Roman"/>
          <w:sz w:val="20"/>
          <w:szCs w:val="20"/>
        </w:rPr>
        <w:t>Roybal</w:t>
      </w:r>
      <w:proofErr w:type="spellEnd"/>
      <w:r w:rsidRPr="004543FB">
        <w:rPr>
          <w:rFonts w:ascii="Times New Roman" w:eastAsia="Verdana" w:hAnsi="Times New Roman" w:cs="Times New Roman"/>
          <w:sz w:val="20"/>
          <w:szCs w:val="20"/>
        </w:rPr>
        <w:t xml:space="preserve"> et al., 2021).</w:t>
      </w:r>
    </w:p>
    <w:p w14:paraId="7D92B6D9"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A" w14:textId="2527808F"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Another key area of growth involved </w:t>
      </w:r>
      <w:r w:rsidRPr="004543FB">
        <w:rPr>
          <w:rFonts w:ascii="Times New Roman" w:eastAsia="Verdana" w:hAnsi="Times New Roman" w:cs="Times New Roman"/>
          <w:b/>
          <w:bCs/>
          <w:sz w:val="20"/>
          <w:szCs w:val="20"/>
        </w:rPr>
        <w:t>learned time manag</w:t>
      </w:r>
      <w:r w:rsidRPr="004543FB">
        <w:rPr>
          <w:rFonts w:ascii="Times New Roman" w:eastAsia="Verdana" w:hAnsi="Times New Roman" w:cs="Times New Roman"/>
          <w:b/>
          <w:bCs/>
          <w:sz w:val="20"/>
          <w:szCs w:val="20"/>
        </w:rPr>
        <w:t>ement</w:t>
      </w:r>
      <w:r w:rsidRPr="004543FB">
        <w:rPr>
          <w:rFonts w:ascii="Times New Roman" w:eastAsia="Verdana" w:hAnsi="Times New Roman" w:cs="Times New Roman"/>
          <w:sz w:val="20"/>
          <w:szCs w:val="20"/>
        </w:rPr>
        <w:t>, which participants described as a skill developed through necessity. Over time, students learned to prioritize tasks, structure schedules, anticipate disruptions, and operate efficiently despite limited time. Schlossberg’s “4S” components—situation,</w:t>
      </w:r>
      <w:r w:rsidRPr="004543FB">
        <w:rPr>
          <w:rFonts w:ascii="Times New Roman" w:eastAsia="Verdana" w:hAnsi="Times New Roman" w:cs="Times New Roman"/>
          <w:sz w:val="20"/>
          <w:szCs w:val="20"/>
        </w:rPr>
        <w:t xml:space="preserve"> self, support, and strategies—clarify how time management emerges as an adaptive response to competing demands, particularly when students must actively manage deadlines across academic and work domains. Research similarly indicates that students balancin</w:t>
      </w:r>
      <w:r w:rsidRPr="004543FB">
        <w:rPr>
          <w:rFonts w:ascii="Times New Roman" w:eastAsia="Verdana" w:hAnsi="Times New Roman" w:cs="Times New Roman"/>
          <w:sz w:val="20"/>
          <w:szCs w:val="20"/>
        </w:rPr>
        <w:t>g academic responsibilities and assistantship roles often develop stronger time management skills and improved organization as a direct consequence of managing competing priorities. Effective time management also supports stress reduction and academic perf</w:t>
      </w:r>
      <w:r w:rsidRPr="004543FB">
        <w:rPr>
          <w:rFonts w:ascii="Times New Roman" w:eastAsia="Verdana" w:hAnsi="Times New Roman" w:cs="Times New Roman"/>
          <w:sz w:val="20"/>
          <w:szCs w:val="20"/>
        </w:rPr>
        <w:t>ormance, reflecting its dual function as both a coping strategy and a competence that supports adaptation (</w:t>
      </w:r>
      <w:proofErr w:type="spellStart"/>
      <w:r w:rsidRPr="004543FB">
        <w:rPr>
          <w:rFonts w:ascii="Times New Roman" w:eastAsia="Verdana" w:hAnsi="Times New Roman" w:cs="Times New Roman"/>
          <w:sz w:val="20"/>
          <w:szCs w:val="20"/>
        </w:rPr>
        <w:t>Khiat</w:t>
      </w:r>
      <w:proofErr w:type="spellEnd"/>
      <w:r w:rsidRPr="004543FB">
        <w:rPr>
          <w:rFonts w:ascii="Times New Roman" w:eastAsia="Verdana" w:hAnsi="Times New Roman" w:cs="Times New Roman"/>
          <w:sz w:val="20"/>
          <w:szCs w:val="20"/>
        </w:rPr>
        <w:t>, 2019). This progression also reflects the transition movement from struggle toward integration, where improved management skills become centra</w:t>
      </w:r>
      <w:r w:rsidRPr="004543FB">
        <w:rPr>
          <w:rFonts w:ascii="Times New Roman" w:eastAsia="Verdana" w:hAnsi="Times New Roman" w:cs="Times New Roman"/>
          <w:sz w:val="20"/>
          <w:szCs w:val="20"/>
        </w:rPr>
        <w:t xml:space="preserve">l to persistence and achievement (Gray et al., 2022; </w:t>
      </w:r>
      <w:proofErr w:type="spellStart"/>
      <w:r w:rsidRPr="004543FB">
        <w:rPr>
          <w:rFonts w:ascii="Times New Roman" w:eastAsia="Verdana" w:hAnsi="Times New Roman" w:cs="Times New Roman"/>
          <w:sz w:val="20"/>
          <w:szCs w:val="20"/>
        </w:rPr>
        <w:t>Ballo</w:t>
      </w:r>
      <w:proofErr w:type="spellEnd"/>
      <w:r w:rsidRPr="004543FB">
        <w:rPr>
          <w:rFonts w:ascii="Times New Roman" w:eastAsia="Verdana" w:hAnsi="Times New Roman" w:cs="Times New Roman"/>
          <w:sz w:val="20"/>
          <w:szCs w:val="20"/>
        </w:rPr>
        <w:t xml:space="preserve"> et al., 2024). In this sense, assistantship becomes a practical training ground for developing discipline and accountability in complex environments, particularly when students engage actively with</w:t>
      </w:r>
      <w:r w:rsidRPr="004543FB">
        <w:rPr>
          <w:rFonts w:ascii="Times New Roman" w:eastAsia="Verdana" w:hAnsi="Times New Roman" w:cs="Times New Roman"/>
          <w:sz w:val="20"/>
          <w:szCs w:val="20"/>
        </w:rPr>
        <w:t xml:space="preserve"> their responsibilities (Kinston et al., 2023).</w:t>
      </w:r>
    </w:p>
    <w:p w14:paraId="777BB820"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B"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Participants also framed assistantship as preparation for </w:t>
      </w:r>
      <w:r w:rsidRPr="004543FB">
        <w:rPr>
          <w:rFonts w:ascii="Times New Roman" w:eastAsia="Verdana" w:hAnsi="Times New Roman" w:cs="Times New Roman"/>
          <w:b/>
          <w:bCs/>
          <w:sz w:val="20"/>
          <w:szCs w:val="20"/>
        </w:rPr>
        <w:t>future goals and career readiness</w:t>
      </w:r>
      <w:r w:rsidRPr="004543FB">
        <w:rPr>
          <w:rFonts w:ascii="Times New Roman" w:eastAsia="Verdana" w:hAnsi="Times New Roman" w:cs="Times New Roman"/>
          <w:sz w:val="20"/>
          <w:szCs w:val="20"/>
        </w:rPr>
        <w:t xml:space="preserve">, describing that their responsibilities resembled real workplace demands and exposed them to professional realities </w:t>
      </w:r>
      <w:r w:rsidRPr="004543FB">
        <w:rPr>
          <w:rFonts w:ascii="Times New Roman" w:eastAsia="Verdana" w:hAnsi="Times New Roman" w:cs="Times New Roman"/>
          <w:sz w:val="20"/>
          <w:szCs w:val="20"/>
        </w:rPr>
        <w:t>beyond classroom learning. This aligns with evidence that experiential roles enhance workplace effectiveness by strengthening professionalism, time management, and resilience, supporting smoother transitions into employment contexts (Putra et al., 2023). S</w:t>
      </w:r>
      <w:r w:rsidRPr="004543FB">
        <w:rPr>
          <w:rFonts w:ascii="Times New Roman" w:eastAsia="Verdana" w:hAnsi="Times New Roman" w:cs="Times New Roman"/>
          <w:sz w:val="20"/>
          <w:szCs w:val="20"/>
        </w:rPr>
        <w:t>tudies further show that working students develop teamwork, communication, and strong work ethics that improve employability after graduation (</w:t>
      </w:r>
      <w:proofErr w:type="spellStart"/>
      <w:r w:rsidRPr="004543FB">
        <w:rPr>
          <w:rFonts w:ascii="Times New Roman" w:eastAsia="Verdana" w:hAnsi="Times New Roman" w:cs="Times New Roman"/>
          <w:sz w:val="20"/>
          <w:szCs w:val="20"/>
        </w:rPr>
        <w:t>Embornas</w:t>
      </w:r>
      <w:proofErr w:type="spellEnd"/>
      <w:r w:rsidRPr="004543FB">
        <w:rPr>
          <w:rFonts w:ascii="Times New Roman" w:eastAsia="Verdana" w:hAnsi="Times New Roman" w:cs="Times New Roman"/>
          <w:sz w:val="20"/>
          <w:szCs w:val="20"/>
        </w:rPr>
        <w:t xml:space="preserve"> &amp; Ponce, 2024). Student assistantships likewise provide early exposure to employer expectations and prac</w:t>
      </w:r>
      <w:r w:rsidRPr="004543FB">
        <w:rPr>
          <w:rFonts w:ascii="Times New Roman" w:eastAsia="Verdana" w:hAnsi="Times New Roman" w:cs="Times New Roman"/>
          <w:sz w:val="20"/>
          <w:szCs w:val="20"/>
        </w:rPr>
        <w:t>tical work environments, contributing to work readiness and confidence (Samson et al., 2024). These findings are consistent with evidence that assistantship programs cultivate responsibility and time management, which are critical for long-term professiona</w:t>
      </w:r>
      <w:r w:rsidRPr="004543FB">
        <w:rPr>
          <w:rFonts w:ascii="Times New Roman" w:eastAsia="Verdana" w:hAnsi="Times New Roman" w:cs="Times New Roman"/>
          <w:sz w:val="20"/>
          <w:szCs w:val="20"/>
        </w:rPr>
        <w:t>l success (</w:t>
      </w:r>
      <w:proofErr w:type="spellStart"/>
      <w:r w:rsidRPr="004543FB">
        <w:rPr>
          <w:rFonts w:ascii="Times New Roman" w:eastAsia="Verdana" w:hAnsi="Times New Roman" w:cs="Times New Roman"/>
          <w:sz w:val="20"/>
          <w:szCs w:val="20"/>
        </w:rPr>
        <w:t>Pilapil</w:t>
      </w:r>
      <w:proofErr w:type="spellEnd"/>
      <w:r w:rsidRPr="004543FB">
        <w:rPr>
          <w:rFonts w:ascii="Times New Roman" w:eastAsia="Verdana" w:hAnsi="Times New Roman" w:cs="Times New Roman"/>
          <w:sz w:val="20"/>
          <w:szCs w:val="20"/>
        </w:rPr>
        <w:t xml:space="preserve"> &amp; </w:t>
      </w:r>
      <w:proofErr w:type="spellStart"/>
      <w:r w:rsidRPr="004543FB">
        <w:rPr>
          <w:rFonts w:ascii="Times New Roman" w:eastAsia="Verdana" w:hAnsi="Times New Roman" w:cs="Times New Roman"/>
          <w:sz w:val="20"/>
          <w:szCs w:val="20"/>
        </w:rPr>
        <w:t>Cutamora</w:t>
      </w:r>
      <w:proofErr w:type="spellEnd"/>
      <w:r w:rsidRPr="004543FB">
        <w:rPr>
          <w:rFonts w:ascii="Times New Roman" w:eastAsia="Verdana" w:hAnsi="Times New Roman" w:cs="Times New Roman"/>
          <w:sz w:val="20"/>
          <w:szCs w:val="20"/>
        </w:rPr>
        <w:t>, 2025).</w:t>
      </w:r>
    </w:p>
    <w:p w14:paraId="0000003C" w14:textId="7665C0BB"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lastRenderedPageBreak/>
        <w:t xml:space="preserve">Finally, the assistantship experience in a Catholic institution contributed to </w:t>
      </w:r>
      <w:r w:rsidRPr="004543FB">
        <w:rPr>
          <w:rFonts w:ascii="Times New Roman" w:eastAsia="Verdana" w:hAnsi="Times New Roman" w:cs="Times New Roman"/>
          <w:b/>
          <w:bCs/>
          <w:sz w:val="20"/>
          <w:szCs w:val="20"/>
        </w:rPr>
        <w:t>spiritual formation</w:t>
      </w:r>
      <w:r w:rsidRPr="004543FB">
        <w:rPr>
          <w:rFonts w:ascii="Times New Roman" w:eastAsia="Verdana" w:hAnsi="Times New Roman" w:cs="Times New Roman"/>
          <w:sz w:val="20"/>
          <w:szCs w:val="20"/>
        </w:rPr>
        <w:t>, which participants described as a source of motivation, resilience, and meaning. Students reported that faith and inst</w:t>
      </w:r>
      <w:r w:rsidRPr="004543FB">
        <w:rPr>
          <w:rFonts w:ascii="Times New Roman" w:eastAsia="Verdana" w:hAnsi="Times New Roman" w:cs="Times New Roman"/>
          <w:sz w:val="20"/>
          <w:szCs w:val="20"/>
        </w:rPr>
        <w:t xml:space="preserve">itutional values shaped how they approached work, handled self-doubt, and sustained hope amid hardship, indicating that spiritual engagement functioned as both an internal resource and an interpretive framework for their experiences. Research supports the </w:t>
      </w:r>
      <w:r w:rsidRPr="004543FB">
        <w:rPr>
          <w:rFonts w:ascii="Times New Roman" w:eastAsia="Verdana" w:hAnsi="Times New Roman" w:cs="Times New Roman"/>
          <w:sz w:val="20"/>
          <w:szCs w:val="20"/>
        </w:rPr>
        <w:t>view that when students’ work aligns with their values—including faith-based principles—they may experience stronger commitment and job satisfaction, which can positively influence broader academic functioning (Woo et al., 2022). In faith-centered higher e</w:t>
      </w:r>
      <w:r w:rsidRPr="004543FB">
        <w:rPr>
          <w:rFonts w:ascii="Times New Roman" w:eastAsia="Verdana" w:hAnsi="Times New Roman" w:cs="Times New Roman"/>
          <w:sz w:val="20"/>
          <w:szCs w:val="20"/>
        </w:rPr>
        <w:t>ducation contexts, spiritual formation has also been shown to foster lifelong learning dispositions and maturity, strengthening moral grounding and ethical behavior (</w:t>
      </w:r>
      <w:proofErr w:type="spellStart"/>
      <w:r w:rsidRPr="004543FB">
        <w:rPr>
          <w:rFonts w:ascii="Times New Roman" w:eastAsia="Verdana" w:hAnsi="Times New Roman" w:cs="Times New Roman"/>
          <w:sz w:val="20"/>
          <w:szCs w:val="20"/>
        </w:rPr>
        <w:t>Rabon</w:t>
      </w:r>
      <w:proofErr w:type="spellEnd"/>
      <w:r w:rsidRPr="004543FB">
        <w:rPr>
          <w:rFonts w:ascii="Times New Roman" w:eastAsia="Verdana" w:hAnsi="Times New Roman" w:cs="Times New Roman"/>
          <w:sz w:val="20"/>
          <w:szCs w:val="20"/>
        </w:rPr>
        <w:t xml:space="preserve">, 2024). Similarly, spiritual formation can enhance moral self-determination and the </w:t>
      </w:r>
      <w:r w:rsidRPr="004543FB">
        <w:rPr>
          <w:rFonts w:ascii="Times New Roman" w:eastAsia="Verdana" w:hAnsi="Times New Roman" w:cs="Times New Roman"/>
          <w:sz w:val="20"/>
          <w:szCs w:val="20"/>
        </w:rPr>
        <w:t>development of individual spiritual values, contributing to broader personal growth (</w:t>
      </w:r>
      <w:proofErr w:type="spellStart"/>
      <w:r w:rsidRPr="004543FB">
        <w:rPr>
          <w:rFonts w:ascii="Times New Roman" w:eastAsia="Verdana" w:hAnsi="Times New Roman" w:cs="Times New Roman"/>
          <w:sz w:val="20"/>
          <w:szCs w:val="20"/>
        </w:rPr>
        <w:t>Lappo</w:t>
      </w:r>
      <w:proofErr w:type="spellEnd"/>
      <w:r w:rsidRPr="004543FB">
        <w:rPr>
          <w:rFonts w:ascii="Times New Roman" w:eastAsia="Verdana" w:hAnsi="Times New Roman" w:cs="Times New Roman"/>
          <w:sz w:val="20"/>
          <w:szCs w:val="20"/>
        </w:rPr>
        <w:t>, 2022). Beyond values and ethics, spiritual formation has been linked to resilience and improved management of responsibilities, contributing to healthier social int</w:t>
      </w:r>
      <w:r w:rsidRPr="004543FB">
        <w:rPr>
          <w:rFonts w:ascii="Times New Roman" w:eastAsia="Verdana" w:hAnsi="Times New Roman" w:cs="Times New Roman"/>
          <w:sz w:val="20"/>
          <w:szCs w:val="20"/>
        </w:rPr>
        <w:t>eractions and personal development (Wang et al., 2023). It may also support coping with mental health challenges by fostering community connection, emotional support, and a strengthened sense of meaning (</w:t>
      </w:r>
      <w:proofErr w:type="spellStart"/>
      <w:r w:rsidRPr="004543FB">
        <w:rPr>
          <w:rFonts w:ascii="Times New Roman" w:eastAsia="Verdana" w:hAnsi="Times New Roman" w:cs="Times New Roman"/>
          <w:sz w:val="20"/>
          <w:szCs w:val="20"/>
        </w:rPr>
        <w:t>Priyatna</w:t>
      </w:r>
      <w:proofErr w:type="spellEnd"/>
      <w:r w:rsidRPr="004543FB">
        <w:rPr>
          <w:rFonts w:ascii="Times New Roman" w:eastAsia="Verdana" w:hAnsi="Times New Roman" w:cs="Times New Roman"/>
          <w:sz w:val="20"/>
          <w:szCs w:val="20"/>
        </w:rPr>
        <w:t>, 2022; Shin, 2023). Taken together, these f</w:t>
      </w:r>
      <w:r w:rsidRPr="004543FB">
        <w:rPr>
          <w:rFonts w:ascii="Times New Roman" w:eastAsia="Verdana" w:hAnsi="Times New Roman" w:cs="Times New Roman"/>
          <w:sz w:val="20"/>
          <w:szCs w:val="20"/>
        </w:rPr>
        <w:t>indings suggest that for student assistants in faith-based institutions, spiritual formation may function as a protective factor that deepens purpose and supports psychological stability amid competing demands.</w:t>
      </w:r>
    </w:p>
    <w:p w14:paraId="389FC131"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D" w14:textId="44957D5D"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The discussion reinforces that student assist</w:t>
      </w:r>
      <w:r w:rsidRPr="004543FB">
        <w:rPr>
          <w:rFonts w:ascii="Times New Roman" w:eastAsia="Verdana" w:hAnsi="Times New Roman" w:cs="Times New Roman"/>
          <w:sz w:val="20"/>
          <w:szCs w:val="20"/>
        </w:rPr>
        <w:t>antship is best understood as a sustained transition shaped by situational pressures, resource constraints, social support, and coping strategies, culminating not only in strain but also in meaningful growth. Consistent with Schlossberg’s transition theory</w:t>
      </w:r>
      <w:r w:rsidRPr="004543FB">
        <w:rPr>
          <w:rFonts w:ascii="Times New Roman" w:eastAsia="Verdana" w:hAnsi="Times New Roman" w:cs="Times New Roman"/>
          <w:sz w:val="20"/>
          <w:szCs w:val="20"/>
        </w:rPr>
        <w:t>, participants’ experiences demonstrate that the outcomes of transition are not determined solely by the presence of challenges, but by how individuals interpret their circumstances, mobilize support, draw from self-resources, and enact strategies that ena</w:t>
      </w:r>
      <w:r w:rsidRPr="004543FB">
        <w:rPr>
          <w:rFonts w:ascii="Times New Roman" w:eastAsia="Verdana" w:hAnsi="Times New Roman" w:cs="Times New Roman"/>
          <w:sz w:val="20"/>
          <w:szCs w:val="20"/>
        </w:rPr>
        <w:t>ble adaptation and integration (Mills et al., 2020).</w:t>
      </w:r>
    </w:p>
    <w:p w14:paraId="35F72357"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3E" w14:textId="161F95C9" w:rsidR="009D0C2D" w:rsidRDefault="00B74F1D" w:rsidP="004543FB">
      <w:pPr>
        <w:spacing w:line="240" w:lineRule="auto"/>
        <w:jc w:val="both"/>
        <w:rPr>
          <w:rFonts w:ascii="Times New Roman" w:eastAsia="Verdana" w:hAnsi="Times New Roman" w:cs="Times New Roman"/>
          <w:b/>
          <w:bCs/>
          <w:color w:val="000000"/>
          <w:sz w:val="20"/>
          <w:szCs w:val="20"/>
        </w:rPr>
      </w:pPr>
      <w:r w:rsidRPr="004543FB">
        <w:rPr>
          <w:rFonts w:ascii="Times New Roman" w:eastAsia="Verdana" w:hAnsi="Times New Roman" w:cs="Times New Roman"/>
          <w:b/>
          <w:bCs/>
          <w:color w:val="000000"/>
          <w:sz w:val="20"/>
          <w:szCs w:val="20"/>
        </w:rPr>
        <w:t>Conclusion:</w:t>
      </w:r>
    </w:p>
    <w:p w14:paraId="54C1F1B2" w14:textId="77777777" w:rsidR="004543FB" w:rsidRPr="004543FB" w:rsidRDefault="004543FB" w:rsidP="004543FB">
      <w:pPr>
        <w:spacing w:line="240" w:lineRule="auto"/>
        <w:jc w:val="both"/>
        <w:rPr>
          <w:rFonts w:ascii="Times New Roman" w:eastAsia="Verdana" w:hAnsi="Times New Roman" w:cs="Times New Roman"/>
          <w:b/>
          <w:bCs/>
          <w:sz w:val="20"/>
          <w:szCs w:val="20"/>
        </w:rPr>
      </w:pPr>
    </w:p>
    <w:p w14:paraId="0000003F" w14:textId="0A52D144"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This phenomenological study examined the lived experiences of student assistants in a Catholic school in Bacolod City and generated three key themes that collectively portray their realities </w:t>
      </w:r>
      <w:r w:rsidRPr="004543FB">
        <w:rPr>
          <w:rFonts w:ascii="Times New Roman" w:eastAsia="Verdana" w:hAnsi="Times New Roman" w:cs="Times New Roman"/>
          <w:sz w:val="20"/>
          <w:szCs w:val="20"/>
        </w:rPr>
        <w:t>as working students: the struggles associated with balancing dual roles, resilience shaped by adaptation and support, and holistic growth developed through responsibility and purpose. Taken together, these themes provide a comprehensive understanding of ho</w:t>
      </w:r>
      <w:r w:rsidRPr="004543FB">
        <w:rPr>
          <w:rFonts w:ascii="Times New Roman" w:eastAsia="Verdana" w:hAnsi="Times New Roman" w:cs="Times New Roman"/>
          <w:sz w:val="20"/>
          <w:szCs w:val="20"/>
        </w:rPr>
        <w:t>w student assistants navigate work demands alongside academic expectations while sustaining motivation and personal development.</w:t>
      </w:r>
    </w:p>
    <w:p w14:paraId="2632E1D1"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0" w14:textId="37592312"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The findings show that student assistants perform multifaceted roles that extend beyond routine clerical tasks. Their responsib</w:t>
      </w:r>
      <w:r w:rsidRPr="004543FB">
        <w:rPr>
          <w:rFonts w:ascii="Times New Roman" w:eastAsia="Verdana" w:hAnsi="Times New Roman" w:cs="Times New Roman"/>
          <w:sz w:val="20"/>
          <w:szCs w:val="20"/>
        </w:rPr>
        <w:t xml:space="preserve">ilities include managing bookings, organizing documents, assisting faculty and office staff, and responding to student concerns—functions that contribute directly to the efficiency and continuity of daily school operations. Through these responsibilities, </w:t>
      </w:r>
      <w:r w:rsidRPr="004543FB">
        <w:rPr>
          <w:rFonts w:ascii="Times New Roman" w:eastAsia="Verdana" w:hAnsi="Times New Roman" w:cs="Times New Roman"/>
          <w:sz w:val="20"/>
          <w:szCs w:val="20"/>
        </w:rPr>
        <w:t>student assistants develop discipline, adaptability, and work habits that strengthen their preparation for future professional settings, while also easing the workload of administrative personnel and supporting the institution’s service delivery.</w:t>
      </w:r>
    </w:p>
    <w:p w14:paraId="71A34819"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1" w14:textId="3FE6F4F1"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At the same time, the study confirms that student assistants encounter substantial challenges rooted in workload intensity, rigid schedules, and the persistent difficulty of balancing office duties with academic requirements. These conditions often lead to</w:t>
      </w:r>
      <w:r w:rsidRPr="004543FB">
        <w:rPr>
          <w:rFonts w:ascii="Times New Roman" w:eastAsia="Verdana" w:hAnsi="Times New Roman" w:cs="Times New Roman"/>
          <w:sz w:val="20"/>
          <w:szCs w:val="20"/>
        </w:rPr>
        <w:t xml:space="preserve"> stress, fatigue, and limited recovery time, compounded further by financial constraints that shape their everyday decisions. Despite these pressures, the student assistantship experience also serves as a formative environment where participants cultivate </w:t>
      </w:r>
      <w:r w:rsidRPr="004543FB">
        <w:rPr>
          <w:rFonts w:ascii="Times New Roman" w:eastAsia="Verdana" w:hAnsi="Times New Roman" w:cs="Times New Roman"/>
          <w:sz w:val="20"/>
          <w:szCs w:val="20"/>
        </w:rPr>
        <w:t xml:space="preserve">practical skills and personal strengths. Students reported growth in time management, resilience, professionalism, teamwork, and interpersonal competence, reflecting a shift from initial struggle toward improved coping and greater confidence in fulfilling </w:t>
      </w:r>
      <w:r w:rsidRPr="004543FB">
        <w:rPr>
          <w:rFonts w:ascii="Times New Roman" w:eastAsia="Verdana" w:hAnsi="Times New Roman" w:cs="Times New Roman"/>
          <w:sz w:val="20"/>
          <w:szCs w:val="20"/>
        </w:rPr>
        <w:t>responsibilities.</w:t>
      </w:r>
    </w:p>
    <w:p w14:paraId="1A4F9938"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2" w14:textId="6965D2D7"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Financial necessity emerged as a central motivation for participation in the student assistantship program, as many students rely on this opportunity to sustain their education. However, participants’ motivations were not purely economic.</w:t>
      </w:r>
      <w:r w:rsidRPr="004543FB">
        <w:rPr>
          <w:rFonts w:ascii="Times New Roman" w:eastAsia="Verdana" w:hAnsi="Times New Roman" w:cs="Times New Roman"/>
          <w:sz w:val="20"/>
          <w:szCs w:val="20"/>
        </w:rPr>
        <w:t xml:space="preserve"> They also valued the assistantship as an avenue for work exposure, skill development, and career preparation. Importantly, their narratives underscored the role of psychosocial support in sustaining persistence. Support from supervisors, peers, and family</w:t>
      </w:r>
      <w:r w:rsidRPr="004543FB">
        <w:rPr>
          <w:rFonts w:ascii="Times New Roman" w:eastAsia="Verdana" w:hAnsi="Times New Roman" w:cs="Times New Roman"/>
          <w:sz w:val="20"/>
          <w:szCs w:val="20"/>
        </w:rPr>
        <w:t xml:space="preserve"> members helped mitigate stress and encouraged continued engagement, while coping strategies such as hobbies, self-reflection, and faith-oriented practices strengthened their capacity to </w:t>
      </w:r>
      <w:r w:rsidRPr="004543FB">
        <w:rPr>
          <w:rFonts w:ascii="Times New Roman" w:eastAsia="Verdana" w:hAnsi="Times New Roman" w:cs="Times New Roman"/>
          <w:sz w:val="20"/>
          <w:szCs w:val="20"/>
        </w:rPr>
        <w:lastRenderedPageBreak/>
        <w:t>manage demands. For many, working within a Catholic school context re</w:t>
      </w:r>
      <w:r w:rsidRPr="004543FB">
        <w:rPr>
          <w:rFonts w:ascii="Times New Roman" w:eastAsia="Verdana" w:hAnsi="Times New Roman" w:cs="Times New Roman"/>
          <w:sz w:val="20"/>
          <w:szCs w:val="20"/>
        </w:rPr>
        <w:t>inforced spiritual growth and provided a values-based foundation that shaped how they understood hardship, responsibility, and purpose.</w:t>
      </w:r>
    </w:p>
    <w:p w14:paraId="02567F9D"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3" w14:textId="094D7B69"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This study concludes that although student assistants face considerable challenges, their experiences cultivate resilien</w:t>
      </w:r>
      <w:r w:rsidRPr="004543FB">
        <w:rPr>
          <w:rFonts w:ascii="Times New Roman" w:eastAsia="Verdana" w:hAnsi="Times New Roman" w:cs="Times New Roman"/>
          <w:sz w:val="20"/>
          <w:szCs w:val="20"/>
        </w:rPr>
        <w:t>ce, discipline, and holistic growth. Their role positions them not only as beneficiaries of learning-through-work but also as significant contributors to institutional effectiveness, bridging administrative needs and student support in practical and meanin</w:t>
      </w:r>
      <w:r w:rsidRPr="004543FB">
        <w:rPr>
          <w:rFonts w:ascii="Times New Roman" w:eastAsia="Verdana" w:hAnsi="Times New Roman" w:cs="Times New Roman"/>
          <w:sz w:val="20"/>
          <w:szCs w:val="20"/>
        </w:rPr>
        <w:t>gful ways. Given that the study focused on a single Catholic school in Bacolod City, future research may expand to multiple institutions or diverse school contexts to strengthen transferability. Longitudinal inquiry is also recommended to examine the longe</w:t>
      </w:r>
      <w:r w:rsidRPr="004543FB">
        <w:rPr>
          <w:rFonts w:ascii="Times New Roman" w:eastAsia="Verdana" w:hAnsi="Times New Roman" w:cs="Times New Roman"/>
          <w:sz w:val="20"/>
          <w:szCs w:val="20"/>
        </w:rPr>
        <w:t xml:space="preserve">r-term effects of assistantship on career readiness, well-being, and professional development. Strengthening support systems and ensuring balanced academic-work arrangements may further enable student assistants to succeed both as students and as emerging </w:t>
      </w:r>
      <w:r w:rsidRPr="004543FB">
        <w:rPr>
          <w:rFonts w:ascii="Times New Roman" w:eastAsia="Verdana" w:hAnsi="Times New Roman" w:cs="Times New Roman"/>
          <w:sz w:val="20"/>
          <w:szCs w:val="20"/>
        </w:rPr>
        <w:t>professionals.</w:t>
      </w:r>
    </w:p>
    <w:p w14:paraId="7C842835"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291E751A" w14:textId="77777777" w:rsidR="004543FB" w:rsidRDefault="00B74F1D" w:rsidP="004543FB">
      <w:pPr>
        <w:spacing w:line="240" w:lineRule="auto"/>
        <w:jc w:val="both"/>
        <w:rPr>
          <w:rFonts w:ascii="Times New Roman" w:eastAsia="Verdana" w:hAnsi="Times New Roman" w:cs="Times New Roman"/>
          <w:b/>
          <w:bCs/>
          <w:sz w:val="20"/>
          <w:szCs w:val="20"/>
        </w:rPr>
      </w:pPr>
      <w:r w:rsidRPr="004543FB">
        <w:rPr>
          <w:rFonts w:ascii="Times New Roman" w:eastAsia="Verdana" w:hAnsi="Times New Roman" w:cs="Times New Roman"/>
          <w:b/>
          <w:bCs/>
          <w:sz w:val="20"/>
          <w:szCs w:val="20"/>
        </w:rPr>
        <w:t>Recommendations</w:t>
      </w:r>
    </w:p>
    <w:p w14:paraId="00000044" w14:textId="4F65C906"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b/>
          <w:bCs/>
          <w:sz w:val="20"/>
          <w:szCs w:val="20"/>
        </w:rPr>
        <w:br/>
      </w:r>
      <w:r w:rsidRPr="004543FB">
        <w:rPr>
          <w:rFonts w:ascii="Times New Roman" w:eastAsia="Verdana" w:hAnsi="Times New Roman" w:cs="Times New Roman"/>
          <w:sz w:val="20"/>
          <w:szCs w:val="20"/>
        </w:rPr>
        <w:t>Based on the findings of this study, a structured and responsive Guidance Program for Student Assistants is strongly recommended to address the academic, psychosocial, and developmental challenges faced by working students. While student assistantship prov</w:t>
      </w:r>
      <w:r w:rsidRPr="004543FB">
        <w:rPr>
          <w:rFonts w:ascii="Times New Roman" w:eastAsia="Verdana" w:hAnsi="Times New Roman" w:cs="Times New Roman"/>
          <w:sz w:val="20"/>
          <w:szCs w:val="20"/>
        </w:rPr>
        <w:t>ides financial support and experiential learning, the results clearly demonstrate the need for intentional guidance interventions that will help student assistants balance their dual roles, sustain well-being, and maximize personal and professional growth.</w:t>
      </w:r>
    </w:p>
    <w:p w14:paraId="0EDDC612"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5" w14:textId="0D811401"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First, it is recommended that the institution institutionalize a comprehensive guidance intervention program specifically designed for student assistants. Working while studying places students at risk of time management difficulties, heightened stress, e</w:t>
      </w:r>
      <w:r w:rsidRPr="004543FB">
        <w:rPr>
          <w:rFonts w:ascii="Times New Roman" w:eastAsia="Verdana" w:hAnsi="Times New Roman" w:cs="Times New Roman"/>
          <w:sz w:val="20"/>
          <w:szCs w:val="20"/>
        </w:rPr>
        <w:t>motional fatigue, and potential burnout. A structured program will provide a safe venue for self-expression, reflection, and support, enabling student assistants to reframe challenges positively and develop healthier coping mechanisms. Anchoring the progra</w:t>
      </w:r>
      <w:r w:rsidRPr="004543FB">
        <w:rPr>
          <w:rFonts w:ascii="Times New Roman" w:eastAsia="Verdana" w:hAnsi="Times New Roman" w:cs="Times New Roman"/>
          <w:sz w:val="20"/>
          <w:szCs w:val="20"/>
        </w:rPr>
        <w:t>m within the school’s guidance services ensures continuity, professional oversight, and alignment with the institution’s mission as a Catholic school.</w:t>
      </w:r>
    </w:p>
    <w:p w14:paraId="2BE931C6"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6" w14:textId="1A9F6D6A"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Second, the program should prioritize the development of self-awareness and adjustment skills among stude</w:t>
      </w:r>
      <w:r w:rsidRPr="004543FB">
        <w:rPr>
          <w:rFonts w:ascii="Times New Roman" w:eastAsia="Verdana" w:hAnsi="Times New Roman" w:cs="Times New Roman"/>
          <w:sz w:val="20"/>
          <w:szCs w:val="20"/>
        </w:rPr>
        <w:t xml:space="preserve">nt assistants. Early in the academic year, the administration of a College Adjustment Scale (CAS) is recommended to assess students’ readiness, stressors, and adaptation concerns. This assessment will allow guidance counselors to identify students who may </w:t>
      </w:r>
      <w:r w:rsidRPr="004543FB">
        <w:rPr>
          <w:rFonts w:ascii="Times New Roman" w:eastAsia="Verdana" w:hAnsi="Times New Roman" w:cs="Times New Roman"/>
          <w:sz w:val="20"/>
          <w:szCs w:val="20"/>
        </w:rPr>
        <w:t>need immediate intervention and tailor support accordingly. Complementary seminar-workshops on self-awareness and role adjustment can help student assistants better understand their strengths, limitations, and expectations as both students and employees.</w:t>
      </w:r>
    </w:p>
    <w:p w14:paraId="71354CF4"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7" w14:textId="00CA96D5"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w:t>
      </w:r>
      <w:r w:rsidRPr="004543FB">
        <w:rPr>
          <w:rFonts w:ascii="Times New Roman" w:eastAsia="Verdana" w:hAnsi="Times New Roman" w:cs="Times New Roman"/>
          <w:sz w:val="20"/>
          <w:szCs w:val="20"/>
        </w:rPr>
        <w:t>hird, the study strongly recommends systematic training in time management and role balancing. Given that difficulty in prioritizing academic and work responsibilities emerged as a major concern, seminar-workshops focusing on practical time management stra</w:t>
      </w:r>
      <w:r w:rsidRPr="004543FB">
        <w:rPr>
          <w:rFonts w:ascii="Times New Roman" w:eastAsia="Verdana" w:hAnsi="Times New Roman" w:cs="Times New Roman"/>
          <w:sz w:val="20"/>
          <w:szCs w:val="20"/>
        </w:rPr>
        <w:t>tegies should be conducted. These sessions may include goal setting, scheduling techniques, workload prioritization, and stress regulation strategies. Strengthening these skills will enable student assistants to manage academic tasks without compromising w</w:t>
      </w:r>
      <w:r w:rsidRPr="004543FB">
        <w:rPr>
          <w:rFonts w:ascii="Times New Roman" w:eastAsia="Verdana" w:hAnsi="Times New Roman" w:cs="Times New Roman"/>
          <w:sz w:val="20"/>
          <w:szCs w:val="20"/>
        </w:rPr>
        <w:t>ork performance or personal well-being.</w:t>
      </w:r>
    </w:p>
    <w:p w14:paraId="7709138F"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8" w14:textId="6ACC99E8"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Fourth, it is recommended that the guidance program include regular individual and group counseling services. Counseling sessions can address academic stress, workplace concerns, interpersonal challenges, and emotion</w:t>
      </w:r>
      <w:r w:rsidRPr="004543FB">
        <w:rPr>
          <w:rFonts w:ascii="Times New Roman" w:eastAsia="Verdana" w:hAnsi="Times New Roman" w:cs="Times New Roman"/>
          <w:sz w:val="20"/>
          <w:szCs w:val="20"/>
        </w:rPr>
        <w:t xml:space="preserve">al fatigue. Group counseling, in particular, may foster peer support and normalize shared experiences among student assistants. The presence of trained guidance counselors and psychometricians ensures ethical, confidential, and developmentally appropriate </w:t>
      </w:r>
      <w:r w:rsidRPr="004543FB">
        <w:rPr>
          <w:rFonts w:ascii="Times New Roman" w:eastAsia="Verdana" w:hAnsi="Times New Roman" w:cs="Times New Roman"/>
          <w:sz w:val="20"/>
          <w:szCs w:val="20"/>
        </w:rPr>
        <w:t>interventions.</w:t>
      </w:r>
    </w:p>
    <w:p w14:paraId="463940AF"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9" w14:textId="7713008F"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Fifth, to strengthen resilience and psychosocial well-being, the study recommends integrating values-based and resilience-focused activities. The administration of a Work Values Inventory (WVI) can help student assistants reflect on their mo</w:t>
      </w:r>
      <w:r w:rsidRPr="004543FB">
        <w:rPr>
          <w:rFonts w:ascii="Times New Roman" w:eastAsia="Verdana" w:hAnsi="Times New Roman" w:cs="Times New Roman"/>
          <w:sz w:val="20"/>
          <w:szCs w:val="20"/>
        </w:rPr>
        <w:t>tivations, values, and work attitudes. Talks on resilience, happiness, and coping with workplace challenges—preferably facilitated by alumni who were former student assistants—may provide relatable role models and reinforce hope, perseverance, and purpose.</w:t>
      </w:r>
      <w:r w:rsidRPr="004543FB">
        <w:rPr>
          <w:rFonts w:ascii="Times New Roman" w:eastAsia="Verdana" w:hAnsi="Times New Roman" w:cs="Times New Roman"/>
          <w:sz w:val="20"/>
          <w:szCs w:val="20"/>
        </w:rPr>
        <w:t xml:space="preserve"> These initiatives are particularly aligned with the Catholic school context, where faith, service, and character formation are integral to student development.</w:t>
      </w:r>
    </w:p>
    <w:p w14:paraId="2F09733F"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A" w14:textId="24D0642D"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lastRenderedPageBreak/>
        <w:t>Sixth, collaboration between the Guidance Office and the offices where student assistants are a</w:t>
      </w:r>
      <w:r w:rsidRPr="004543FB">
        <w:rPr>
          <w:rFonts w:ascii="Times New Roman" w:eastAsia="Verdana" w:hAnsi="Times New Roman" w:cs="Times New Roman"/>
          <w:sz w:val="20"/>
          <w:szCs w:val="20"/>
        </w:rPr>
        <w:t>ssigned is recommended. Regular performance evaluations conducted by office supervisors can serve as feedback mechanisms to assess adjustment, work performance, and behavioral growth. These evaluations, conducted per semester, may be triangulated with acad</w:t>
      </w:r>
      <w:r w:rsidRPr="004543FB">
        <w:rPr>
          <w:rFonts w:ascii="Times New Roman" w:eastAsia="Verdana" w:hAnsi="Times New Roman" w:cs="Times New Roman"/>
          <w:sz w:val="20"/>
          <w:szCs w:val="20"/>
        </w:rPr>
        <w:t>emic performance and guidance assessments to monitor progress and identify students who may require additional support.</w:t>
      </w:r>
    </w:p>
    <w:p w14:paraId="699FC585"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B" w14:textId="5173C982"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Finally, it is recommended that the program adopt a continuous evaluation and improvement mechanism. After every activity, feedback shou</w:t>
      </w:r>
      <w:r w:rsidRPr="004543FB">
        <w:rPr>
          <w:rFonts w:ascii="Times New Roman" w:eastAsia="Verdana" w:hAnsi="Times New Roman" w:cs="Times New Roman"/>
          <w:sz w:val="20"/>
          <w:szCs w:val="20"/>
        </w:rPr>
        <w:t>ld be gathered from student assistants to assess relevance, effectiveness, and responsiveness to their needs. The results of these evaluations should guide program refinement to ensure sustainability and adaptability across academic years.</w:t>
      </w:r>
    </w:p>
    <w:p w14:paraId="62066BBF"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C" w14:textId="2A0C265F" w:rsidR="009D0C2D"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These recommenda</w:t>
      </w:r>
      <w:r w:rsidRPr="004543FB">
        <w:rPr>
          <w:rFonts w:ascii="Times New Roman" w:eastAsia="Verdana" w:hAnsi="Times New Roman" w:cs="Times New Roman"/>
          <w:sz w:val="20"/>
          <w:szCs w:val="20"/>
        </w:rPr>
        <w:t>tions aim to transform student assistantship from a purely financial or operational arrangement into a holistic developmental experience. By strengthening guidance services, fostering resilience, and supporting balanced academic-work engagement, the instit</w:t>
      </w:r>
      <w:r w:rsidRPr="004543FB">
        <w:rPr>
          <w:rFonts w:ascii="Times New Roman" w:eastAsia="Verdana" w:hAnsi="Times New Roman" w:cs="Times New Roman"/>
          <w:sz w:val="20"/>
          <w:szCs w:val="20"/>
        </w:rPr>
        <w:t>ution can ensure that student assistants not only survive but thrive—academically, emotionally, spiritually, and professionally.</w:t>
      </w:r>
    </w:p>
    <w:p w14:paraId="2F28CCC0" w14:textId="77777777" w:rsidR="004543FB" w:rsidRPr="004543FB" w:rsidRDefault="004543FB" w:rsidP="004543FB">
      <w:pPr>
        <w:spacing w:line="240" w:lineRule="auto"/>
        <w:jc w:val="both"/>
        <w:rPr>
          <w:rFonts w:ascii="Times New Roman" w:eastAsia="Verdana" w:hAnsi="Times New Roman" w:cs="Times New Roman"/>
          <w:sz w:val="20"/>
          <w:szCs w:val="20"/>
        </w:rPr>
      </w:pPr>
    </w:p>
    <w:p w14:paraId="0000004D" w14:textId="491BB6AB" w:rsidR="009D0C2D" w:rsidRDefault="00B74F1D" w:rsidP="004543FB">
      <w:pPr>
        <w:spacing w:line="240" w:lineRule="auto"/>
        <w:jc w:val="both"/>
        <w:rPr>
          <w:rFonts w:ascii="Times New Roman" w:eastAsia="Verdana" w:hAnsi="Times New Roman" w:cs="Times New Roman"/>
          <w:b/>
          <w:bCs/>
          <w:color w:val="000000"/>
          <w:sz w:val="20"/>
          <w:szCs w:val="20"/>
        </w:rPr>
      </w:pPr>
      <w:r w:rsidRPr="004543FB">
        <w:rPr>
          <w:rFonts w:ascii="Times New Roman" w:eastAsia="Verdana" w:hAnsi="Times New Roman" w:cs="Times New Roman"/>
          <w:b/>
          <w:bCs/>
          <w:color w:val="000000"/>
          <w:sz w:val="20"/>
          <w:szCs w:val="20"/>
        </w:rPr>
        <w:t>References:</w:t>
      </w:r>
    </w:p>
    <w:p w14:paraId="473BAA8B" w14:textId="77777777" w:rsidR="004543FB" w:rsidRPr="004543FB" w:rsidRDefault="004543FB" w:rsidP="004543FB">
      <w:pPr>
        <w:spacing w:line="240" w:lineRule="auto"/>
        <w:jc w:val="both"/>
        <w:rPr>
          <w:rFonts w:ascii="Times New Roman" w:eastAsia="Verdana" w:hAnsi="Times New Roman" w:cs="Times New Roman"/>
          <w:b/>
          <w:bCs/>
          <w:sz w:val="20"/>
          <w:szCs w:val="20"/>
        </w:rPr>
      </w:pPr>
    </w:p>
    <w:p w14:paraId="0000004E"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Andrade, C., &amp; </w:t>
      </w:r>
      <w:proofErr w:type="spellStart"/>
      <w:r w:rsidRPr="004543FB">
        <w:rPr>
          <w:rFonts w:ascii="Times New Roman" w:eastAsia="Verdana" w:hAnsi="Times New Roman" w:cs="Times New Roman"/>
          <w:sz w:val="20"/>
          <w:szCs w:val="20"/>
        </w:rPr>
        <w:t>Fernandes</w:t>
      </w:r>
      <w:proofErr w:type="spellEnd"/>
      <w:r w:rsidRPr="004543FB">
        <w:rPr>
          <w:rFonts w:ascii="Times New Roman" w:eastAsia="Verdana" w:hAnsi="Times New Roman" w:cs="Times New Roman"/>
          <w:sz w:val="20"/>
          <w:szCs w:val="20"/>
        </w:rPr>
        <w:t>, J. L. (2023). School-Family and Family-School Enrichment: A Study with Portuguese Working</w:t>
      </w:r>
      <w:r w:rsidRPr="004543FB">
        <w:rPr>
          <w:rFonts w:ascii="Times New Roman" w:eastAsia="Verdana" w:hAnsi="Times New Roman" w:cs="Times New Roman"/>
          <w:sz w:val="20"/>
          <w:szCs w:val="20"/>
        </w:rPr>
        <w:t xml:space="preserve"> Student Parents. Education Sciences, 13(10), 1024. </w:t>
      </w:r>
      <w:hyperlink r:id="rId7">
        <w:r w:rsidRPr="004543FB">
          <w:rPr>
            <w:rFonts w:ascii="Times New Roman" w:eastAsia="Verdana" w:hAnsi="Times New Roman" w:cs="Times New Roman"/>
            <w:color w:val="1155CC"/>
            <w:sz w:val="20"/>
            <w:szCs w:val="20"/>
            <w:u w:val="single"/>
          </w:rPr>
          <w:t>https://doi.org/10.3390/educsci13101024</w:t>
        </w:r>
      </w:hyperlink>
    </w:p>
    <w:p w14:paraId="0000004F"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Affum</w:t>
      </w:r>
      <w:proofErr w:type="spellEnd"/>
      <w:r w:rsidRPr="004543FB">
        <w:rPr>
          <w:rFonts w:ascii="Times New Roman" w:eastAsia="Verdana" w:hAnsi="Times New Roman" w:cs="Times New Roman"/>
          <w:sz w:val="20"/>
          <w:szCs w:val="20"/>
        </w:rPr>
        <w:t>, P. K., Tutu-</w:t>
      </w:r>
      <w:proofErr w:type="spellStart"/>
      <w:r w:rsidRPr="004543FB">
        <w:rPr>
          <w:rFonts w:ascii="Times New Roman" w:eastAsia="Verdana" w:hAnsi="Times New Roman" w:cs="Times New Roman"/>
          <w:sz w:val="20"/>
          <w:szCs w:val="20"/>
        </w:rPr>
        <w:t>Danquah</w:t>
      </w:r>
      <w:proofErr w:type="spellEnd"/>
      <w:r w:rsidRPr="004543FB">
        <w:rPr>
          <w:rFonts w:ascii="Times New Roman" w:eastAsia="Verdana" w:hAnsi="Times New Roman" w:cs="Times New Roman"/>
          <w:sz w:val="20"/>
          <w:szCs w:val="20"/>
        </w:rPr>
        <w:t xml:space="preserve">, C., &amp; </w:t>
      </w:r>
      <w:proofErr w:type="spellStart"/>
      <w:r w:rsidRPr="004543FB">
        <w:rPr>
          <w:rFonts w:ascii="Times New Roman" w:eastAsia="Verdana" w:hAnsi="Times New Roman" w:cs="Times New Roman"/>
          <w:sz w:val="20"/>
          <w:szCs w:val="20"/>
        </w:rPr>
        <w:t>Dinye</w:t>
      </w:r>
      <w:proofErr w:type="spellEnd"/>
      <w:r w:rsidRPr="004543FB">
        <w:rPr>
          <w:rFonts w:ascii="Times New Roman" w:eastAsia="Verdana" w:hAnsi="Times New Roman" w:cs="Times New Roman"/>
          <w:sz w:val="20"/>
          <w:szCs w:val="20"/>
        </w:rPr>
        <w:t>, E. a. B. (2023). Strategies for Coping with the Stress among Stu</w:t>
      </w:r>
      <w:r w:rsidRPr="004543FB">
        <w:rPr>
          <w:rFonts w:ascii="Times New Roman" w:eastAsia="Verdana" w:hAnsi="Times New Roman" w:cs="Times New Roman"/>
          <w:sz w:val="20"/>
          <w:szCs w:val="20"/>
        </w:rPr>
        <w:t xml:space="preserve">dents: Running with the Hare and Hunting with the Hounds. In Recent Trends in Arts and Social Studies (Vol. 2, pp. 133–145). </w:t>
      </w:r>
      <w:hyperlink r:id="rId8">
        <w:r w:rsidRPr="004543FB">
          <w:rPr>
            <w:rFonts w:ascii="Times New Roman" w:eastAsia="Verdana" w:hAnsi="Times New Roman" w:cs="Times New Roman"/>
            <w:color w:val="1155CC"/>
            <w:sz w:val="20"/>
            <w:szCs w:val="20"/>
            <w:u w:val="single"/>
          </w:rPr>
          <w:t>https://doi.org/10.9734/bpi/rtass/v2/19123d</w:t>
        </w:r>
      </w:hyperlink>
      <w:r w:rsidRPr="004543FB">
        <w:rPr>
          <w:rFonts w:ascii="Times New Roman" w:eastAsia="Verdana" w:hAnsi="Times New Roman" w:cs="Times New Roman"/>
          <w:sz w:val="20"/>
          <w:szCs w:val="20"/>
        </w:rPr>
        <w:t xml:space="preserve">  </w:t>
      </w:r>
    </w:p>
    <w:p w14:paraId="00000050"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Alvi</w:t>
      </w:r>
      <w:proofErr w:type="spellEnd"/>
      <w:r w:rsidRPr="004543FB">
        <w:rPr>
          <w:rFonts w:ascii="Times New Roman" w:eastAsia="Verdana" w:hAnsi="Times New Roman" w:cs="Times New Roman"/>
          <w:sz w:val="20"/>
          <w:szCs w:val="20"/>
        </w:rPr>
        <w:t>, I., &amp; Sharma, A.</w:t>
      </w:r>
      <w:r w:rsidRPr="004543FB">
        <w:rPr>
          <w:rFonts w:ascii="Times New Roman" w:eastAsia="Verdana" w:hAnsi="Times New Roman" w:cs="Times New Roman"/>
          <w:sz w:val="20"/>
          <w:szCs w:val="20"/>
        </w:rPr>
        <w:t xml:space="preserve"> (2021). Effective Practices for Enhancing Students' Commitment to the Higher Educational Institutes. Journal of Engineering Education Transformations, 34(4). </w:t>
      </w:r>
      <w:hyperlink r:id="rId9">
        <w:r w:rsidRPr="004543FB">
          <w:rPr>
            <w:rFonts w:ascii="Times New Roman" w:eastAsia="Verdana" w:hAnsi="Times New Roman" w:cs="Times New Roman"/>
            <w:color w:val="1155CC"/>
            <w:sz w:val="20"/>
            <w:szCs w:val="20"/>
            <w:u w:val="single"/>
          </w:rPr>
          <w:t>https://journaleet.in/in</w:t>
        </w:r>
        <w:r w:rsidRPr="004543FB">
          <w:rPr>
            <w:rFonts w:ascii="Times New Roman" w:eastAsia="Verdana" w:hAnsi="Times New Roman" w:cs="Times New Roman"/>
            <w:color w:val="1155CC"/>
            <w:sz w:val="20"/>
            <w:szCs w:val="20"/>
            <w:u w:val="single"/>
          </w:rPr>
          <w:t>dex.php/jeet/article/view/134</w:t>
        </w:r>
      </w:hyperlink>
      <w:r w:rsidRPr="004543FB">
        <w:rPr>
          <w:rFonts w:ascii="Times New Roman" w:eastAsia="Verdana" w:hAnsi="Times New Roman" w:cs="Times New Roman"/>
          <w:sz w:val="20"/>
          <w:szCs w:val="20"/>
        </w:rPr>
        <w:t xml:space="preserve"> </w:t>
      </w:r>
    </w:p>
    <w:p w14:paraId="00000051"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Aspers, P. and Corte, U. (2019). What is qualitative in qualitative research. Qualitative Sociology, 42(2), 139-160. </w:t>
      </w:r>
      <w:hyperlink r:id="rId10">
        <w:r w:rsidRPr="004543FB">
          <w:rPr>
            <w:rFonts w:ascii="Times New Roman" w:eastAsia="Verdana" w:hAnsi="Times New Roman" w:cs="Times New Roman"/>
            <w:color w:val="1155CC"/>
            <w:sz w:val="20"/>
            <w:szCs w:val="20"/>
            <w:u w:val="single"/>
          </w:rPr>
          <w:t>https://doi.org/10.1007/s11133-019-9413-7</w:t>
        </w:r>
      </w:hyperlink>
    </w:p>
    <w:p w14:paraId="00000052"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Audal</w:t>
      </w:r>
      <w:proofErr w:type="spellEnd"/>
      <w:r w:rsidRPr="004543FB">
        <w:rPr>
          <w:rFonts w:ascii="Times New Roman" w:eastAsia="Verdana" w:hAnsi="Times New Roman" w:cs="Times New Roman"/>
          <w:sz w:val="20"/>
          <w:szCs w:val="20"/>
        </w:rPr>
        <w:t xml:space="preserve">, R. A., </w:t>
      </w:r>
      <w:proofErr w:type="spellStart"/>
      <w:r w:rsidRPr="004543FB">
        <w:rPr>
          <w:rFonts w:ascii="Times New Roman" w:eastAsia="Verdana" w:hAnsi="Times New Roman" w:cs="Times New Roman"/>
          <w:sz w:val="20"/>
          <w:szCs w:val="20"/>
        </w:rPr>
        <w:t>Binas</w:t>
      </w:r>
      <w:proofErr w:type="spellEnd"/>
      <w:r w:rsidRPr="004543FB">
        <w:rPr>
          <w:rFonts w:ascii="Times New Roman" w:eastAsia="Verdana" w:hAnsi="Times New Roman" w:cs="Times New Roman"/>
          <w:sz w:val="20"/>
          <w:szCs w:val="20"/>
        </w:rPr>
        <w:t xml:space="preserve">, A., </w:t>
      </w:r>
      <w:proofErr w:type="spellStart"/>
      <w:r w:rsidRPr="004543FB">
        <w:rPr>
          <w:rFonts w:ascii="Times New Roman" w:eastAsia="Verdana" w:hAnsi="Times New Roman" w:cs="Times New Roman"/>
          <w:sz w:val="20"/>
          <w:szCs w:val="20"/>
        </w:rPr>
        <w:t>Oares</w:t>
      </w:r>
      <w:proofErr w:type="spellEnd"/>
      <w:r w:rsidRPr="004543FB">
        <w:rPr>
          <w:rFonts w:ascii="Times New Roman" w:eastAsia="Verdana" w:hAnsi="Times New Roman" w:cs="Times New Roman"/>
          <w:sz w:val="20"/>
          <w:szCs w:val="20"/>
        </w:rPr>
        <w:t xml:space="preserve">, A. N., &amp; </w:t>
      </w:r>
      <w:proofErr w:type="spellStart"/>
      <w:r w:rsidRPr="004543FB">
        <w:rPr>
          <w:rFonts w:ascii="Times New Roman" w:eastAsia="Verdana" w:hAnsi="Times New Roman" w:cs="Times New Roman"/>
          <w:sz w:val="20"/>
          <w:szCs w:val="20"/>
        </w:rPr>
        <w:t>Marpuri</w:t>
      </w:r>
      <w:proofErr w:type="spellEnd"/>
      <w:r w:rsidRPr="004543FB">
        <w:rPr>
          <w:rFonts w:ascii="Times New Roman" w:eastAsia="Verdana" w:hAnsi="Times New Roman" w:cs="Times New Roman"/>
          <w:sz w:val="20"/>
          <w:szCs w:val="20"/>
        </w:rPr>
        <w:t xml:space="preserve">, J. C. (2025). Administrative skills of student aides in </w:t>
      </w:r>
      <w:proofErr w:type="spellStart"/>
      <w:r w:rsidRPr="004543FB">
        <w:rPr>
          <w:rFonts w:ascii="Times New Roman" w:eastAsia="Verdana" w:hAnsi="Times New Roman" w:cs="Times New Roman"/>
          <w:sz w:val="20"/>
          <w:szCs w:val="20"/>
        </w:rPr>
        <w:t>Camarines</w:t>
      </w:r>
      <w:proofErr w:type="spellEnd"/>
      <w:r w:rsidRPr="004543FB">
        <w:rPr>
          <w:rFonts w:ascii="Times New Roman" w:eastAsia="Verdana" w:hAnsi="Times New Roman" w:cs="Times New Roman"/>
          <w:sz w:val="20"/>
          <w:szCs w:val="20"/>
        </w:rPr>
        <w:t xml:space="preserve"> Sur Polytechnic Colleges, Philippines. </w:t>
      </w:r>
      <w:proofErr w:type="spellStart"/>
      <w:r w:rsidRPr="004543FB">
        <w:rPr>
          <w:rFonts w:ascii="Times New Roman" w:eastAsia="Verdana" w:hAnsi="Times New Roman" w:cs="Times New Roman"/>
          <w:sz w:val="20"/>
          <w:szCs w:val="20"/>
        </w:rPr>
        <w:t>Bincang</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Sains</w:t>
      </w:r>
      <w:proofErr w:type="spellEnd"/>
      <w:r w:rsidRPr="004543FB">
        <w:rPr>
          <w:rFonts w:ascii="Times New Roman" w:eastAsia="Verdana" w:hAnsi="Times New Roman" w:cs="Times New Roman"/>
          <w:sz w:val="20"/>
          <w:szCs w:val="20"/>
        </w:rPr>
        <w:t xml:space="preserve"> Dan </w:t>
      </w:r>
      <w:proofErr w:type="spellStart"/>
      <w:r w:rsidRPr="004543FB">
        <w:rPr>
          <w:rFonts w:ascii="Times New Roman" w:eastAsia="Verdana" w:hAnsi="Times New Roman" w:cs="Times New Roman"/>
          <w:sz w:val="20"/>
          <w:szCs w:val="20"/>
        </w:rPr>
        <w:t>Teknologi</w:t>
      </w:r>
      <w:proofErr w:type="spellEnd"/>
      <w:r w:rsidRPr="004543FB">
        <w:rPr>
          <w:rFonts w:ascii="Times New Roman" w:eastAsia="Verdana" w:hAnsi="Times New Roman" w:cs="Times New Roman"/>
          <w:sz w:val="20"/>
          <w:szCs w:val="20"/>
        </w:rPr>
        <w:t>, 4(01), 38–50. https://doi.org/10.56741/bst.v4i01.872</w:t>
      </w:r>
    </w:p>
    <w:p w14:paraId="00000053"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Baja, R. A. C. (2024). T</w:t>
      </w:r>
      <w:r w:rsidRPr="004543FB">
        <w:rPr>
          <w:rFonts w:ascii="Times New Roman" w:eastAsia="Verdana" w:hAnsi="Times New Roman" w:cs="Times New Roman"/>
          <w:sz w:val="20"/>
          <w:szCs w:val="20"/>
        </w:rPr>
        <w:t xml:space="preserve">ears </w:t>
      </w:r>
      <w:proofErr w:type="gramStart"/>
      <w:r w:rsidRPr="004543FB">
        <w:rPr>
          <w:rFonts w:ascii="Times New Roman" w:eastAsia="Verdana" w:hAnsi="Times New Roman" w:cs="Times New Roman"/>
          <w:sz w:val="20"/>
          <w:szCs w:val="20"/>
        </w:rPr>
        <w:t>Of</w:t>
      </w:r>
      <w:proofErr w:type="gramEnd"/>
      <w:r w:rsidRPr="004543FB">
        <w:rPr>
          <w:rFonts w:ascii="Times New Roman" w:eastAsia="Verdana" w:hAnsi="Times New Roman" w:cs="Times New Roman"/>
          <w:sz w:val="20"/>
          <w:szCs w:val="20"/>
        </w:rPr>
        <w:t xml:space="preserve"> Hope: The Plight of Working Students Under TVL Late Afternoon Program. European Journal of Education Studies, 11(5). </w:t>
      </w:r>
      <w:hyperlink r:id="rId11">
        <w:r w:rsidRPr="004543FB">
          <w:rPr>
            <w:rFonts w:ascii="Times New Roman" w:eastAsia="Verdana" w:hAnsi="Times New Roman" w:cs="Times New Roman"/>
            <w:color w:val="1155CC"/>
            <w:sz w:val="20"/>
            <w:szCs w:val="20"/>
            <w:u w:val="single"/>
          </w:rPr>
          <w:t>http://dx.doi.org/10.46827/ejes.v11i5.5291</w:t>
        </w:r>
      </w:hyperlink>
      <w:r w:rsidRPr="004543FB">
        <w:rPr>
          <w:rFonts w:ascii="Times New Roman" w:eastAsia="Verdana" w:hAnsi="Times New Roman" w:cs="Times New Roman"/>
          <w:sz w:val="20"/>
          <w:szCs w:val="20"/>
        </w:rPr>
        <w:t xml:space="preserve">  </w:t>
      </w:r>
    </w:p>
    <w:p w14:paraId="00000054"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Balacuit</w:t>
      </w:r>
      <w:proofErr w:type="spellEnd"/>
      <w:r w:rsidRPr="004543FB">
        <w:rPr>
          <w:rFonts w:ascii="Times New Roman" w:eastAsia="Verdana" w:hAnsi="Times New Roman" w:cs="Times New Roman"/>
          <w:sz w:val="20"/>
          <w:szCs w:val="20"/>
        </w:rPr>
        <w:t xml:space="preserve">, C., &amp; </w:t>
      </w:r>
      <w:proofErr w:type="spellStart"/>
      <w:r w:rsidRPr="004543FB">
        <w:rPr>
          <w:rFonts w:ascii="Times New Roman" w:eastAsia="Verdana" w:hAnsi="Times New Roman" w:cs="Times New Roman"/>
          <w:sz w:val="20"/>
          <w:szCs w:val="20"/>
        </w:rPr>
        <w:t>Lopio</w:t>
      </w:r>
      <w:proofErr w:type="spellEnd"/>
      <w:r w:rsidRPr="004543FB">
        <w:rPr>
          <w:rFonts w:ascii="Times New Roman" w:eastAsia="Verdana" w:hAnsi="Times New Roman" w:cs="Times New Roman"/>
          <w:sz w:val="20"/>
          <w:szCs w:val="20"/>
        </w:rPr>
        <w:t xml:space="preserve">, L. (2022). Working while studying: The academic challenges of working scholars. International Journal of Novel Research and Development, 7(6), 748-756. </w:t>
      </w:r>
      <w:hyperlink r:id="rId12">
        <w:r w:rsidRPr="004543FB">
          <w:rPr>
            <w:rFonts w:ascii="Times New Roman" w:eastAsia="Verdana" w:hAnsi="Times New Roman" w:cs="Times New Roman"/>
            <w:color w:val="1155CC"/>
            <w:sz w:val="20"/>
            <w:szCs w:val="20"/>
            <w:u w:val="single"/>
          </w:rPr>
          <w:t>https://ijnrd.org/pa</w:t>
        </w:r>
        <w:r w:rsidRPr="004543FB">
          <w:rPr>
            <w:rFonts w:ascii="Times New Roman" w:eastAsia="Verdana" w:hAnsi="Times New Roman" w:cs="Times New Roman"/>
            <w:color w:val="1155CC"/>
            <w:sz w:val="20"/>
            <w:szCs w:val="20"/>
            <w:u w:val="single"/>
          </w:rPr>
          <w:t>pers/IJNRD2206086.pdf</w:t>
        </w:r>
      </w:hyperlink>
      <w:r w:rsidRPr="004543FB">
        <w:rPr>
          <w:rFonts w:ascii="Times New Roman" w:eastAsia="Verdana" w:hAnsi="Times New Roman" w:cs="Times New Roman"/>
          <w:sz w:val="20"/>
          <w:szCs w:val="20"/>
        </w:rPr>
        <w:t xml:space="preserve">  </w:t>
      </w:r>
    </w:p>
    <w:p w14:paraId="00000055"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Ballo</w:t>
      </w:r>
      <w:proofErr w:type="spellEnd"/>
      <w:r w:rsidRPr="004543FB">
        <w:rPr>
          <w:rFonts w:ascii="Times New Roman" w:eastAsia="Verdana" w:hAnsi="Times New Roman" w:cs="Times New Roman"/>
          <w:sz w:val="20"/>
          <w:szCs w:val="20"/>
        </w:rPr>
        <w:t xml:space="preserve">, A., </w:t>
      </w:r>
      <w:proofErr w:type="spellStart"/>
      <w:r w:rsidRPr="004543FB">
        <w:rPr>
          <w:rFonts w:ascii="Times New Roman" w:eastAsia="Verdana" w:hAnsi="Times New Roman" w:cs="Times New Roman"/>
          <w:sz w:val="20"/>
          <w:szCs w:val="20"/>
        </w:rPr>
        <w:t>Varis</w:t>
      </w:r>
      <w:proofErr w:type="spellEnd"/>
      <w:r w:rsidRPr="004543FB">
        <w:rPr>
          <w:rFonts w:ascii="Times New Roman" w:eastAsia="Verdana" w:hAnsi="Times New Roman" w:cs="Times New Roman"/>
          <w:sz w:val="20"/>
          <w:szCs w:val="20"/>
        </w:rPr>
        <w:t xml:space="preserve">, S., </w:t>
      </w:r>
      <w:proofErr w:type="spellStart"/>
      <w:r w:rsidRPr="004543FB">
        <w:rPr>
          <w:rFonts w:ascii="Times New Roman" w:eastAsia="Verdana" w:hAnsi="Times New Roman" w:cs="Times New Roman"/>
          <w:sz w:val="20"/>
          <w:szCs w:val="20"/>
        </w:rPr>
        <w:t>Mathies</w:t>
      </w:r>
      <w:proofErr w:type="spellEnd"/>
      <w:r w:rsidRPr="004543FB">
        <w:rPr>
          <w:rFonts w:ascii="Times New Roman" w:eastAsia="Verdana" w:hAnsi="Times New Roman" w:cs="Times New Roman"/>
          <w:sz w:val="20"/>
          <w:szCs w:val="20"/>
        </w:rPr>
        <w:t xml:space="preserve">, C., &amp; </w:t>
      </w:r>
      <w:proofErr w:type="spellStart"/>
      <w:r w:rsidRPr="004543FB">
        <w:rPr>
          <w:rFonts w:ascii="Times New Roman" w:eastAsia="Verdana" w:hAnsi="Times New Roman" w:cs="Times New Roman"/>
          <w:sz w:val="20"/>
          <w:szCs w:val="20"/>
        </w:rPr>
        <w:t>Filippou</w:t>
      </w:r>
      <w:proofErr w:type="spellEnd"/>
      <w:r w:rsidRPr="004543FB">
        <w:rPr>
          <w:rFonts w:ascii="Times New Roman" w:eastAsia="Verdana" w:hAnsi="Times New Roman" w:cs="Times New Roman"/>
          <w:sz w:val="20"/>
          <w:szCs w:val="20"/>
        </w:rPr>
        <w:t xml:space="preserve">, K. (2024). International master’s degree students’ experiences of support at a </w:t>
      </w:r>
      <w:proofErr w:type="spellStart"/>
      <w:r w:rsidRPr="004543FB">
        <w:rPr>
          <w:rFonts w:ascii="Times New Roman" w:eastAsia="Verdana" w:hAnsi="Times New Roman" w:cs="Times New Roman"/>
          <w:sz w:val="20"/>
          <w:szCs w:val="20"/>
        </w:rPr>
        <w:t>finnish</w:t>
      </w:r>
      <w:proofErr w:type="spellEnd"/>
      <w:r w:rsidRPr="004543FB">
        <w:rPr>
          <w:rFonts w:ascii="Times New Roman" w:eastAsia="Verdana" w:hAnsi="Times New Roman" w:cs="Times New Roman"/>
          <w:sz w:val="20"/>
          <w:szCs w:val="20"/>
        </w:rPr>
        <w:t xml:space="preserve"> university. Nordic Journal of Comparative and International Education (</w:t>
      </w:r>
      <w:proofErr w:type="spellStart"/>
      <w:r w:rsidRPr="004543FB">
        <w:rPr>
          <w:rFonts w:ascii="Times New Roman" w:eastAsia="Verdana" w:hAnsi="Times New Roman" w:cs="Times New Roman"/>
          <w:sz w:val="20"/>
          <w:szCs w:val="20"/>
        </w:rPr>
        <w:t>Njcie</w:t>
      </w:r>
      <w:proofErr w:type="spellEnd"/>
      <w:r w:rsidRPr="004543FB">
        <w:rPr>
          <w:rFonts w:ascii="Times New Roman" w:eastAsia="Verdana" w:hAnsi="Times New Roman" w:cs="Times New Roman"/>
          <w:sz w:val="20"/>
          <w:szCs w:val="20"/>
        </w:rPr>
        <w:t xml:space="preserve">), 8(1). </w:t>
      </w:r>
      <w:hyperlink r:id="rId13">
        <w:r w:rsidRPr="004543FB">
          <w:rPr>
            <w:rFonts w:ascii="Times New Roman" w:eastAsia="Verdana" w:hAnsi="Times New Roman" w:cs="Times New Roman"/>
            <w:color w:val="1155CC"/>
            <w:sz w:val="20"/>
            <w:szCs w:val="20"/>
            <w:u w:val="single"/>
          </w:rPr>
          <w:t>https://doi.org/10.7577/njcie.5693</w:t>
        </w:r>
      </w:hyperlink>
      <w:r w:rsidRPr="004543FB">
        <w:rPr>
          <w:rFonts w:ascii="Times New Roman" w:eastAsia="Verdana" w:hAnsi="Times New Roman" w:cs="Times New Roman"/>
          <w:sz w:val="20"/>
          <w:szCs w:val="20"/>
        </w:rPr>
        <w:t xml:space="preserve">  </w:t>
      </w:r>
    </w:p>
    <w:p w14:paraId="00000056"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Bangcola</w:t>
      </w:r>
      <w:proofErr w:type="spellEnd"/>
      <w:r w:rsidRPr="004543FB">
        <w:rPr>
          <w:rFonts w:ascii="Times New Roman" w:eastAsia="Verdana" w:hAnsi="Times New Roman" w:cs="Times New Roman"/>
          <w:sz w:val="20"/>
          <w:szCs w:val="20"/>
        </w:rPr>
        <w:t>, A. (2023). Ways of coping and mental health among nursing students transitioning from online learning to in-person classes in a university setting. The Malaysian Journa</w:t>
      </w:r>
      <w:r w:rsidRPr="004543FB">
        <w:rPr>
          <w:rFonts w:ascii="Times New Roman" w:eastAsia="Verdana" w:hAnsi="Times New Roman" w:cs="Times New Roman"/>
          <w:sz w:val="20"/>
          <w:szCs w:val="20"/>
        </w:rPr>
        <w:t xml:space="preserve">l of Nursing, 15(01), 70-78. </w:t>
      </w:r>
      <w:hyperlink r:id="rId14">
        <w:r w:rsidRPr="004543FB">
          <w:rPr>
            <w:rFonts w:ascii="Times New Roman" w:eastAsia="Verdana" w:hAnsi="Times New Roman" w:cs="Times New Roman"/>
            <w:color w:val="1155CC"/>
            <w:sz w:val="20"/>
            <w:szCs w:val="20"/>
            <w:u w:val="single"/>
          </w:rPr>
          <w:t>https://doi.org/10.31674/mjn.2023.v15i01.008</w:t>
        </w:r>
      </w:hyperlink>
      <w:r w:rsidRPr="004543FB">
        <w:rPr>
          <w:rFonts w:ascii="Times New Roman" w:eastAsia="Verdana" w:hAnsi="Times New Roman" w:cs="Times New Roman"/>
          <w:sz w:val="20"/>
          <w:szCs w:val="20"/>
        </w:rPr>
        <w:t xml:space="preserve">  </w:t>
      </w:r>
    </w:p>
    <w:p w14:paraId="00000057"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Cabili</w:t>
      </w:r>
      <w:proofErr w:type="spellEnd"/>
      <w:r w:rsidRPr="004543FB">
        <w:rPr>
          <w:rFonts w:ascii="Times New Roman" w:eastAsia="Verdana" w:hAnsi="Times New Roman" w:cs="Times New Roman"/>
          <w:sz w:val="20"/>
          <w:szCs w:val="20"/>
        </w:rPr>
        <w:t xml:space="preserve">, T. M., Romero, B. N., &amp; De </w:t>
      </w:r>
      <w:proofErr w:type="spellStart"/>
      <w:r w:rsidRPr="004543FB">
        <w:rPr>
          <w:rFonts w:ascii="Times New Roman" w:eastAsia="Verdana" w:hAnsi="Times New Roman" w:cs="Times New Roman"/>
          <w:sz w:val="20"/>
          <w:szCs w:val="20"/>
        </w:rPr>
        <w:t>Asis</w:t>
      </w:r>
      <w:proofErr w:type="spellEnd"/>
      <w:r w:rsidRPr="004543FB">
        <w:rPr>
          <w:rFonts w:ascii="Times New Roman" w:eastAsia="Verdana" w:hAnsi="Times New Roman" w:cs="Times New Roman"/>
          <w:sz w:val="20"/>
          <w:szCs w:val="20"/>
        </w:rPr>
        <w:t>, L. A. (2020). ESGP-PA Scholars in the University of Eastern Philippines: Th</w:t>
      </w:r>
      <w:r w:rsidRPr="004543FB">
        <w:rPr>
          <w:rFonts w:ascii="Times New Roman" w:eastAsia="Verdana" w:hAnsi="Times New Roman" w:cs="Times New Roman"/>
          <w:sz w:val="20"/>
          <w:szCs w:val="20"/>
        </w:rPr>
        <w:t xml:space="preserve">eir Academic Performance, Challenges, and Perceived Solutions. International Journal of Trend in Scientific Research and Development. </w:t>
      </w:r>
      <w:hyperlink r:id="rId15">
        <w:r w:rsidRPr="004543FB">
          <w:rPr>
            <w:rFonts w:ascii="Times New Roman" w:eastAsia="Verdana" w:hAnsi="Times New Roman" w:cs="Times New Roman"/>
            <w:color w:val="1155CC"/>
            <w:sz w:val="20"/>
            <w:szCs w:val="20"/>
            <w:u w:val="single"/>
          </w:rPr>
          <w:t>https://www.ijtsrd.com/papers/ijtsrd38023.pdf</w:t>
        </w:r>
      </w:hyperlink>
    </w:p>
    <w:p w14:paraId="00000058"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Chen, S., Z</w:t>
      </w:r>
      <w:r w:rsidRPr="004543FB">
        <w:rPr>
          <w:rFonts w:ascii="Times New Roman" w:eastAsia="Verdana" w:hAnsi="Times New Roman" w:cs="Times New Roman"/>
          <w:sz w:val="20"/>
          <w:szCs w:val="20"/>
        </w:rPr>
        <w:t xml:space="preserve">hang, Q., Zhao, Q., Deng, H., &amp; Su, Y.-S. (2021). Influencing factors of university relocation on college students’ intention to engage in local entrepreneurship and employment. Frontiers in Psychology, 12. https://doi.org/10.3389/fpsyg.2021.750972 </w:t>
      </w:r>
    </w:p>
    <w:p w14:paraId="00000059"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Coston</w:t>
      </w:r>
      <w:proofErr w:type="spellEnd"/>
      <w:r w:rsidRPr="004543FB">
        <w:rPr>
          <w:rFonts w:ascii="Times New Roman" w:eastAsia="Verdana" w:hAnsi="Times New Roman" w:cs="Times New Roman"/>
          <w:sz w:val="20"/>
          <w:szCs w:val="20"/>
        </w:rPr>
        <w:t xml:space="preserve">, F. (2023). Voices of first-generation transfer students: implications for support services. JCAPS, 5(2), 77-89. </w:t>
      </w:r>
      <w:hyperlink r:id="rId16">
        <w:r w:rsidRPr="004543FB">
          <w:rPr>
            <w:rFonts w:ascii="Times New Roman" w:eastAsia="Verdana" w:hAnsi="Times New Roman" w:cs="Times New Roman"/>
            <w:color w:val="1155CC"/>
            <w:sz w:val="20"/>
            <w:szCs w:val="20"/>
            <w:u w:val="single"/>
          </w:rPr>
          <w:t>https://doi.org/10.52499/2023017</w:t>
        </w:r>
      </w:hyperlink>
    </w:p>
    <w:p w14:paraId="0000005A"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De </w:t>
      </w:r>
      <w:proofErr w:type="spellStart"/>
      <w:r w:rsidRPr="004543FB">
        <w:rPr>
          <w:rFonts w:ascii="Times New Roman" w:eastAsia="Verdana" w:hAnsi="Times New Roman" w:cs="Times New Roman"/>
          <w:sz w:val="20"/>
          <w:szCs w:val="20"/>
        </w:rPr>
        <w:t>Asis</w:t>
      </w:r>
      <w:proofErr w:type="spellEnd"/>
      <w:r w:rsidRPr="004543FB">
        <w:rPr>
          <w:rFonts w:ascii="Times New Roman" w:eastAsia="Verdana" w:hAnsi="Times New Roman" w:cs="Times New Roman"/>
          <w:sz w:val="20"/>
          <w:szCs w:val="20"/>
        </w:rPr>
        <w:t xml:space="preserve">, L. A., </w:t>
      </w:r>
      <w:proofErr w:type="spellStart"/>
      <w:r w:rsidRPr="004543FB">
        <w:rPr>
          <w:rFonts w:ascii="Times New Roman" w:eastAsia="Verdana" w:hAnsi="Times New Roman" w:cs="Times New Roman"/>
          <w:sz w:val="20"/>
          <w:szCs w:val="20"/>
        </w:rPr>
        <w:t>Cabili</w:t>
      </w:r>
      <w:proofErr w:type="spellEnd"/>
      <w:r w:rsidRPr="004543FB">
        <w:rPr>
          <w:rFonts w:ascii="Times New Roman" w:eastAsia="Verdana" w:hAnsi="Times New Roman" w:cs="Times New Roman"/>
          <w:sz w:val="20"/>
          <w:szCs w:val="20"/>
        </w:rPr>
        <w:t>, T. M., &amp; Romero, B. N. (2020). ES</w:t>
      </w:r>
      <w:r w:rsidRPr="004543FB">
        <w:rPr>
          <w:rFonts w:ascii="Times New Roman" w:eastAsia="Verdana" w:hAnsi="Times New Roman" w:cs="Times New Roman"/>
          <w:sz w:val="20"/>
          <w:szCs w:val="20"/>
        </w:rPr>
        <w:t>GP-PA Scholars in the University of Eastern Philippines: Their Academic Performance, Challenges, and Perceived Solutions. International Journal of Trend in Scientific Research and Development (IJTSRD), 5(1), 654–658.</w:t>
      </w:r>
    </w:p>
    <w:p w14:paraId="0000005B"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lastRenderedPageBreak/>
        <w:t>Diale</w:t>
      </w:r>
      <w:proofErr w:type="spellEnd"/>
      <w:r w:rsidRPr="004543FB">
        <w:rPr>
          <w:rFonts w:ascii="Times New Roman" w:eastAsia="Verdana" w:hAnsi="Times New Roman" w:cs="Times New Roman"/>
          <w:sz w:val="20"/>
          <w:szCs w:val="20"/>
        </w:rPr>
        <w:t>, B. (2022). ‘</w:t>
      </w:r>
      <w:proofErr w:type="spellStart"/>
      <w:r w:rsidRPr="004543FB">
        <w:rPr>
          <w:rFonts w:ascii="Times New Roman" w:eastAsia="Verdana" w:hAnsi="Times New Roman" w:cs="Times New Roman"/>
          <w:sz w:val="20"/>
          <w:szCs w:val="20"/>
        </w:rPr>
        <w:t>indlela</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ibuzwa</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kwaba</w:t>
      </w:r>
      <w:r w:rsidRPr="004543FB">
        <w:rPr>
          <w:rFonts w:ascii="Times New Roman" w:eastAsia="Verdana" w:hAnsi="Times New Roman" w:cs="Times New Roman"/>
          <w:sz w:val="20"/>
          <w:szCs w:val="20"/>
        </w:rPr>
        <w:t>phambili</w:t>
      </w:r>
      <w:proofErr w:type="spellEnd"/>
      <w:r w:rsidRPr="004543FB">
        <w:rPr>
          <w:rFonts w:ascii="Times New Roman" w:eastAsia="Verdana" w:hAnsi="Times New Roman" w:cs="Times New Roman"/>
          <w:sz w:val="20"/>
          <w:szCs w:val="20"/>
        </w:rPr>
        <w:t xml:space="preserve">’: using indigenous knowledge practices to support first-year first-generation </w:t>
      </w:r>
      <w:proofErr w:type="spellStart"/>
      <w:r w:rsidRPr="004543FB">
        <w:rPr>
          <w:rFonts w:ascii="Times New Roman" w:eastAsia="Verdana" w:hAnsi="Times New Roman" w:cs="Times New Roman"/>
          <w:sz w:val="20"/>
          <w:szCs w:val="20"/>
        </w:rPr>
        <w:t>african</w:t>
      </w:r>
      <w:proofErr w:type="spellEnd"/>
      <w:r w:rsidRPr="004543FB">
        <w:rPr>
          <w:rFonts w:ascii="Times New Roman" w:eastAsia="Verdana" w:hAnsi="Times New Roman" w:cs="Times New Roman"/>
          <w:sz w:val="20"/>
          <w:szCs w:val="20"/>
        </w:rPr>
        <w:t xml:space="preserve"> students in their career transition to higher education. African Journal of Career Development, 4(1). </w:t>
      </w:r>
      <w:hyperlink r:id="rId17">
        <w:r w:rsidRPr="004543FB">
          <w:rPr>
            <w:rFonts w:ascii="Times New Roman" w:eastAsia="Verdana" w:hAnsi="Times New Roman" w:cs="Times New Roman"/>
            <w:color w:val="1155CC"/>
            <w:sz w:val="20"/>
            <w:szCs w:val="20"/>
            <w:u w:val="single"/>
          </w:rPr>
          <w:t>htt</w:t>
        </w:r>
        <w:r w:rsidRPr="004543FB">
          <w:rPr>
            <w:rFonts w:ascii="Times New Roman" w:eastAsia="Verdana" w:hAnsi="Times New Roman" w:cs="Times New Roman"/>
            <w:color w:val="1155CC"/>
            <w:sz w:val="20"/>
            <w:szCs w:val="20"/>
            <w:u w:val="single"/>
          </w:rPr>
          <w:t>ps://doi.org/10.4102/ajcd.v4i1.62</w:t>
        </w:r>
      </w:hyperlink>
    </w:p>
    <w:p w14:paraId="0000005C"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Embornas</w:t>
      </w:r>
      <w:proofErr w:type="spellEnd"/>
      <w:r w:rsidRPr="004543FB">
        <w:rPr>
          <w:rFonts w:ascii="Times New Roman" w:eastAsia="Verdana" w:hAnsi="Times New Roman" w:cs="Times New Roman"/>
          <w:sz w:val="20"/>
          <w:szCs w:val="20"/>
        </w:rPr>
        <w:t>, A., &amp; Ponce, S. (2024). Assessing Employability: Tracing BA Sociology Graduates from MSU-</w:t>
      </w:r>
      <w:proofErr w:type="spellStart"/>
      <w:r w:rsidRPr="004543FB">
        <w:rPr>
          <w:rFonts w:ascii="Times New Roman" w:eastAsia="Verdana" w:hAnsi="Times New Roman" w:cs="Times New Roman"/>
          <w:sz w:val="20"/>
          <w:szCs w:val="20"/>
        </w:rPr>
        <w:t>Iligan</w:t>
      </w:r>
      <w:proofErr w:type="spellEnd"/>
      <w:r w:rsidRPr="004543FB">
        <w:rPr>
          <w:rFonts w:ascii="Times New Roman" w:eastAsia="Verdana" w:hAnsi="Times New Roman" w:cs="Times New Roman"/>
          <w:sz w:val="20"/>
          <w:szCs w:val="20"/>
        </w:rPr>
        <w:t xml:space="preserve"> Institute of Technology, Philippines. 36(1). </w:t>
      </w:r>
      <w:hyperlink r:id="rId18">
        <w:r w:rsidRPr="004543FB">
          <w:rPr>
            <w:rFonts w:ascii="Times New Roman" w:eastAsia="Verdana" w:hAnsi="Times New Roman" w:cs="Times New Roman"/>
            <w:color w:val="1155CC"/>
            <w:sz w:val="20"/>
            <w:szCs w:val="20"/>
            <w:u w:val="single"/>
          </w:rPr>
          <w:t>https://doi.org/10.62071/tmf.v36i1.699</w:t>
        </w:r>
      </w:hyperlink>
      <w:r w:rsidRPr="004543FB">
        <w:rPr>
          <w:rFonts w:ascii="Times New Roman" w:eastAsia="Verdana" w:hAnsi="Times New Roman" w:cs="Times New Roman"/>
          <w:sz w:val="20"/>
          <w:szCs w:val="20"/>
        </w:rPr>
        <w:t xml:space="preserve">  </w:t>
      </w:r>
    </w:p>
    <w:p w14:paraId="0000005D"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Glavin</w:t>
      </w:r>
      <w:proofErr w:type="spellEnd"/>
      <w:r w:rsidRPr="004543FB">
        <w:rPr>
          <w:rFonts w:ascii="Times New Roman" w:eastAsia="Verdana" w:hAnsi="Times New Roman" w:cs="Times New Roman"/>
          <w:sz w:val="20"/>
          <w:szCs w:val="20"/>
        </w:rPr>
        <w:t xml:space="preserve">, P., </w:t>
      </w:r>
      <w:proofErr w:type="spellStart"/>
      <w:r w:rsidRPr="004543FB">
        <w:rPr>
          <w:rFonts w:ascii="Times New Roman" w:eastAsia="Verdana" w:hAnsi="Times New Roman" w:cs="Times New Roman"/>
          <w:sz w:val="20"/>
          <w:szCs w:val="20"/>
        </w:rPr>
        <w:t>Schieman</w:t>
      </w:r>
      <w:proofErr w:type="spellEnd"/>
      <w:r w:rsidRPr="004543FB">
        <w:rPr>
          <w:rFonts w:ascii="Times New Roman" w:eastAsia="Verdana" w:hAnsi="Times New Roman" w:cs="Times New Roman"/>
          <w:sz w:val="20"/>
          <w:szCs w:val="20"/>
        </w:rPr>
        <w:t xml:space="preserve">, S., &amp; </w:t>
      </w:r>
      <w:proofErr w:type="spellStart"/>
      <w:r w:rsidRPr="004543FB">
        <w:rPr>
          <w:rFonts w:ascii="Times New Roman" w:eastAsia="Verdana" w:hAnsi="Times New Roman" w:cs="Times New Roman"/>
          <w:sz w:val="20"/>
          <w:szCs w:val="20"/>
        </w:rPr>
        <w:t>Bierman</w:t>
      </w:r>
      <w:proofErr w:type="spellEnd"/>
      <w:r w:rsidRPr="004543FB">
        <w:rPr>
          <w:rFonts w:ascii="Times New Roman" w:eastAsia="Verdana" w:hAnsi="Times New Roman" w:cs="Times New Roman"/>
          <w:sz w:val="20"/>
          <w:szCs w:val="20"/>
        </w:rPr>
        <w:t>, A. (2024). From flexibility to unending availability: Platform workers’ experiences of work–family conflict. Journal of Marriage and Family, 86(3), 574–592. https://doi.org/10.11</w:t>
      </w:r>
      <w:r w:rsidRPr="004543FB">
        <w:rPr>
          <w:rFonts w:ascii="Times New Roman" w:eastAsia="Verdana" w:hAnsi="Times New Roman" w:cs="Times New Roman"/>
          <w:sz w:val="20"/>
          <w:szCs w:val="20"/>
        </w:rPr>
        <w:t>11/jomf.12977</w:t>
      </w:r>
    </w:p>
    <w:p w14:paraId="0000005E"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Gray, M., </w:t>
      </w:r>
      <w:proofErr w:type="spellStart"/>
      <w:r w:rsidRPr="004543FB">
        <w:rPr>
          <w:rFonts w:ascii="Times New Roman" w:eastAsia="Verdana" w:hAnsi="Times New Roman" w:cs="Times New Roman"/>
          <w:sz w:val="20"/>
          <w:szCs w:val="20"/>
        </w:rPr>
        <w:t>Gunarathne</w:t>
      </w:r>
      <w:proofErr w:type="spellEnd"/>
      <w:r w:rsidRPr="004543FB">
        <w:rPr>
          <w:rFonts w:ascii="Times New Roman" w:eastAsia="Verdana" w:hAnsi="Times New Roman" w:cs="Times New Roman"/>
          <w:sz w:val="20"/>
          <w:szCs w:val="20"/>
        </w:rPr>
        <w:t xml:space="preserve">, S., Nguyen, N., &amp; </w:t>
      </w:r>
      <w:proofErr w:type="spellStart"/>
      <w:r w:rsidRPr="004543FB">
        <w:rPr>
          <w:rFonts w:ascii="Times New Roman" w:eastAsia="Verdana" w:hAnsi="Times New Roman" w:cs="Times New Roman"/>
          <w:sz w:val="20"/>
          <w:szCs w:val="20"/>
        </w:rPr>
        <w:t>Shortlidge</w:t>
      </w:r>
      <w:proofErr w:type="spellEnd"/>
      <w:r w:rsidRPr="004543FB">
        <w:rPr>
          <w:rFonts w:ascii="Times New Roman" w:eastAsia="Verdana" w:hAnsi="Times New Roman" w:cs="Times New Roman"/>
          <w:sz w:val="20"/>
          <w:szCs w:val="20"/>
        </w:rPr>
        <w:t xml:space="preserve">, E. (2022). Thriving or simply surviving? a qualitative exploration of stem community college students’ transition to a four-year university. </w:t>
      </w:r>
      <w:proofErr w:type="spellStart"/>
      <w:r w:rsidRPr="004543FB">
        <w:rPr>
          <w:rFonts w:ascii="Times New Roman" w:eastAsia="Verdana" w:hAnsi="Times New Roman" w:cs="Times New Roman"/>
          <w:sz w:val="20"/>
          <w:szCs w:val="20"/>
        </w:rPr>
        <w:t>Cbe</w:t>
      </w:r>
      <w:proofErr w:type="spellEnd"/>
      <w:r w:rsidRPr="004543FB">
        <w:rPr>
          <w:rFonts w:ascii="Times New Roman" w:eastAsia="Verdana" w:hAnsi="Times New Roman" w:cs="Times New Roman"/>
          <w:sz w:val="20"/>
          <w:szCs w:val="20"/>
        </w:rPr>
        <w:t xml:space="preserve">—life Sciences Education, 21(3). </w:t>
      </w:r>
      <w:hyperlink r:id="rId19">
        <w:r w:rsidRPr="004543FB">
          <w:rPr>
            <w:rFonts w:ascii="Times New Roman" w:eastAsia="Verdana" w:hAnsi="Times New Roman" w:cs="Times New Roman"/>
            <w:color w:val="1155CC"/>
            <w:sz w:val="20"/>
            <w:szCs w:val="20"/>
            <w:u w:val="single"/>
          </w:rPr>
          <w:t>https://doi.org/10.1187/cbe.21-09-0261</w:t>
        </w:r>
      </w:hyperlink>
    </w:p>
    <w:p w14:paraId="0000005F"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Heuse</w:t>
      </w:r>
      <w:proofErr w:type="spellEnd"/>
      <w:r w:rsidRPr="004543FB">
        <w:rPr>
          <w:rFonts w:ascii="Times New Roman" w:eastAsia="Verdana" w:hAnsi="Times New Roman" w:cs="Times New Roman"/>
          <w:sz w:val="20"/>
          <w:szCs w:val="20"/>
        </w:rPr>
        <w:t xml:space="preserve">, S., </w:t>
      </w:r>
      <w:proofErr w:type="spellStart"/>
      <w:r w:rsidRPr="004543FB">
        <w:rPr>
          <w:rFonts w:ascii="Times New Roman" w:eastAsia="Verdana" w:hAnsi="Times New Roman" w:cs="Times New Roman"/>
          <w:sz w:val="20"/>
          <w:szCs w:val="20"/>
        </w:rPr>
        <w:t>Dietze</w:t>
      </w:r>
      <w:proofErr w:type="spellEnd"/>
      <w:r w:rsidRPr="004543FB">
        <w:rPr>
          <w:rFonts w:ascii="Times New Roman" w:eastAsia="Verdana" w:hAnsi="Times New Roman" w:cs="Times New Roman"/>
          <w:sz w:val="20"/>
          <w:szCs w:val="20"/>
        </w:rPr>
        <w:t xml:space="preserve">, C., Fodor, D., &amp; </w:t>
      </w:r>
      <w:proofErr w:type="spellStart"/>
      <w:r w:rsidRPr="004543FB">
        <w:rPr>
          <w:rFonts w:ascii="Times New Roman" w:eastAsia="Verdana" w:hAnsi="Times New Roman" w:cs="Times New Roman"/>
          <w:sz w:val="20"/>
          <w:szCs w:val="20"/>
        </w:rPr>
        <w:t>Voltmer</w:t>
      </w:r>
      <w:proofErr w:type="spellEnd"/>
      <w:r w:rsidRPr="004543FB">
        <w:rPr>
          <w:rFonts w:ascii="Times New Roman" w:eastAsia="Verdana" w:hAnsi="Times New Roman" w:cs="Times New Roman"/>
          <w:sz w:val="20"/>
          <w:szCs w:val="20"/>
        </w:rPr>
        <w:t xml:space="preserve">, E. (2020). Studying and more: part-time employment as an educational challenge? Journal of Medical Psychology, 22(1), 59-65. </w:t>
      </w:r>
      <w:hyperlink r:id="rId20">
        <w:r w:rsidRPr="004543FB">
          <w:rPr>
            <w:rFonts w:ascii="Times New Roman" w:eastAsia="Verdana" w:hAnsi="Times New Roman" w:cs="Times New Roman"/>
            <w:color w:val="1155CC"/>
            <w:sz w:val="20"/>
            <w:szCs w:val="20"/>
            <w:u w:val="single"/>
          </w:rPr>
          <w:t>https://doi.org/10.3233/jmp-200024</w:t>
        </w:r>
      </w:hyperlink>
    </w:p>
    <w:p w14:paraId="00000060"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Islam, M.S. &amp; Rabbi, M.F. (2024). Exploring the sources of academic stress and adopted coping mechanisms among university students. International Journal on Studies in E</w:t>
      </w:r>
      <w:r w:rsidRPr="004543FB">
        <w:rPr>
          <w:rFonts w:ascii="Times New Roman" w:eastAsia="Verdana" w:hAnsi="Times New Roman" w:cs="Times New Roman"/>
          <w:sz w:val="20"/>
          <w:szCs w:val="20"/>
        </w:rPr>
        <w:t>ducation (</w:t>
      </w:r>
      <w:proofErr w:type="spellStart"/>
      <w:r w:rsidRPr="004543FB">
        <w:rPr>
          <w:rFonts w:ascii="Times New Roman" w:eastAsia="Verdana" w:hAnsi="Times New Roman" w:cs="Times New Roman"/>
          <w:sz w:val="20"/>
          <w:szCs w:val="20"/>
        </w:rPr>
        <w:t>IJonSE</w:t>
      </w:r>
      <w:proofErr w:type="spellEnd"/>
      <w:r w:rsidRPr="004543FB">
        <w:rPr>
          <w:rFonts w:ascii="Times New Roman" w:eastAsia="Verdana" w:hAnsi="Times New Roman" w:cs="Times New Roman"/>
          <w:sz w:val="20"/>
          <w:szCs w:val="20"/>
        </w:rPr>
        <w:t xml:space="preserve">), 6(2), 255-271. </w:t>
      </w:r>
      <w:hyperlink r:id="rId21">
        <w:r w:rsidRPr="004543FB">
          <w:rPr>
            <w:rFonts w:ascii="Times New Roman" w:eastAsia="Verdana" w:hAnsi="Times New Roman" w:cs="Times New Roman"/>
            <w:color w:val="1155CC"/>
            <w:sz w:val="20"/>
            <w:szCs w:val="20"/>
            <w:u w:val="single"/>
          </w:rPr>
          <w:t>https://doi.org/10.46328/ijonse.203</w:t>
        </w:r>
      </w:hyperlink>
    </w:p>
    <w:p w14:paraId="00000061"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Jovancic</w:t>
      </w:r>
      <w:proofErr w:type="spellEnd"/>
      <w:r w:rsidRPr="004543FB">
        <w:rPr>
          <w:rFonts w:ascii="Times New Roman" w:eastAsia="Verdana" w:hAnsi="Times New Roman" w:cs="Times New Roman"/>
          <w:sz w:val="20"/>
          <w:szCs w:val="20"/>
        </w:rPr>
        <w:t xml:space="preserve">, N. (2022, May 4). 5 Data Collection Methods for Obtaining Quantitative and Qualitative Data. </w:t>
      </w:r>
      <w:proofErr w:type="spellStart"/>
      <w:r w:rsidRPr="004543FB">
        <w:rPr>
          <w:rFonts w:ascii="Times New Roman" w:eastAsia="Verdana" w:hAnsi="Times New Roman" w:cs="Times New Roman"/>
          <w:sz w:val="20"/>
          <w:szCs w:val="20"/>
        </w:rPr>
        <w:t>LeadQuizzes</w:t>
      </w:r>
      <w:proofErr w:type="spellEnd"/>
      <w:r w:rsidRPr="004543FB">
        <w:rPr>
          <w:rFonts w:ascii="Times New Roman" w:eastAsia="Verdana" w:hAnsi="Times New Roman" w:cs="Times New Roman"/>
          <w:sz w:val="20"/>
          <w:szCs w:val="20"/>
        </w:rPr>
        <w:t>. Retrieved Octob</w:t>
      </w:r>
      <w:r w:rsidRPr="004543FB">
        <w:rPr>
          <w:rFonts w:ascii="Times New Roman" w:eastAsia="Verdana" w:hAnsi="Times New Roman" w:cs="Times New Roman"/>
          <w:sz w:val="20"/>
          <w:szCs w:val="20"/>
        </w:rPr>
        <w:t xml:space="preserve">er 20, 2022, from </w:t>
      </w:r>
      <w:hyperlink r:id="rId22">
        <w:r w:rsidRPr="004543FB">
          <w:rPr>
            <w:rFonts w:ascii="Times New Roman" w:eastAsia="Verdana" w:hAnsi="Times New Roman" w:cs="Times New Roman"/>
            <w:color w:val="1155CC"/>
            <w:sz w:val="20"/>
            <w:szCs w:val="20"/>
            <w:u w:val="single"/>
          </w:rPr>
          <w:t>https://www.leadquizzes.com/blog/data-collection-methods</w:t>
        </w:r>
      </w:hyperlink>
    </w:p>
    <w:p w14:paraId="00000062"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Kerr, E., &amp; Cabral, A. R. (2020, December 30). The pros and cons of working while in college. U.S. News &amp; World Report. https://www.usnews.com/education/best-colleges/paying-for-college/articles/weighing-the-pros-and-cons-of-working-while-in-college</w:t>
      </w:r>
    </w:p>
    <w:p w14:paraId="00000063"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Kinsto</w:t>
      </w:r>
      <w:r w:rsidRPr="004543FB">
        <w:rPr>
          <w:rFonts w:ascii="Times New Roman" w:eastAsia="Verdana" w:hAnsi="Times New Roman" w:cs="Times New Roman"/>
          <w:sz w:val="20"/>
          <w:szCs w:val="20"/>
        </w:rPr>
        <w:t xml:space="preserve">n, R., Gay, S., McKinley, R., Sam, S., Yardley, S., &amp; </w:t>
      </w:r>
      <w:proofErr w:type="spellStart"/>
      <w:r w:rsidRPr="004543FB">
        <w:rPr>
          <w:rFonts w:ascii="Times New Roman" w:eastAsia="Verdana" w:hAnsi="Times New Roman" w:cs="Times New Roman"/>
          <w:sz w:val="20"/>
          <w:szCs w:val="20"/>
        </w:rPr>
        <w:t>Lefroy</w:t>
      </w:r>
      <w:proofErr w:type="spellEnd"/>
      <w:r w:rsidRPr="004543FB">
        <w:rPr>
          <w:rFonts w:ascii="Times New Roman" w:eastAsia="Verdana" w:hAnsi="Times New Roman" w:cs="Times New Roman"/>
          <w:sz w:val="20"/>
          <w:szCs w:val="20"/>
        </w:rPr>
        <w:t xml:space="preserve">, J. (2023). How well do </w:t>
      </w:r>
      <w:proofErr w:type="spellStart"/>
      <w:r w:rsidRPr="004543FB">
        <w:rPr>
          <w:rFonts w:ascii="Times New Roman" w:eastAsia="Verdana" w:hAnsi="Times New Roman" w:cs="Times New Roman"/>
          <w:sz w:val="20"/>
          <w:szCs w:val="20"/>
        </w:rPr>
        <w:t>uk</w:t>
      </w:r>
      <w:proofErr w:type="spellEnd"/>
      <w:r w:rsidRPr="004543FB">
        <w:rPr>
          <w:rFonts w:ascii="Times New Roman" w:eastAsia="Verdana" w:hAnsi="Times New Roman" w:cs="Times New Roman"/>
          <w:sz w:val="20"/>
          <w:szCs w:val="20"/>
        </w:rPr>
        <w:t xml:space="preserve"> assistantships equip medical students for graduate practice? think </w:t>
      </w:r>
      <w:proofErr w:type="spellStart"/>
      <w:r w:rsidRPr="004543FB">
        <w:rPr>
          <w:rFonts w:ascii="Times New Roman" w:eastAsia="Verdana" w:hAnsi="Times New Roman" w:cs="Times New Roman"/>
          <w:sz w:val="20"/>
          <w:szCs w:val="20"/>
        </w:rPr>
        <w:t>epas</w:t>
      </w:r>
      <w:proofErr w:type="spellEnd"/>
      <w:r w:rsidRPr="004543FB">
        <w:rPr>
          <w:rFonts w:ascii="Times New Roman" w:eastAsia="Verdana" w:hAnsi="Times New Roman" w:cs="Times New Roman"/>
          <w:sz w:val="20"/>
          <w:szCs w:val="20"/>
        </w:rPr>
        <w:t xml:space="preserve">. Advances in Health Sciences Education, 29(1), 173-198. </w:t>
      </w:r>
      <w:hyperlink r:id="rId23">
        <w:r w:rsidRPr="004543FB">
          <w:rPr>
            <w:rFonts w:ascii="Times New Roman" w:eastAsia="Verdana" w:hAnsi="Times New Roman" w:cs="Times New Roman"/>
            <w:color w:val="1155CC"/>
            <w:sz w:val="20"/>
            <w:szCs w:val="20"/>
            <w:u w:val="single"/>
          </w:rPr>
          <w:t>https://doi.org/10.1007/s10459-023-10249-4</w:t>
        </w:r>
      </w:hyperlink>
      <w:r w:rsidRPr="004543FB">
        <w:rPr>
          <w:rFonts w:ascii="Times New Roman" w:eastAsia="Verdana" w:hAnsi="Times New Roman" w:cs="Times New Roman"/>
          <w:sz w:val="20"/>
          <w:szCs w:val="20"/>
        </w:rPr>
        <w:t xml:space="preserve">   </w:t>
      </w:r>
    </w:p>
    <w:p w14:paraId="00000064"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Khiat</w:t>
      </w:r>
      <w:proofErr w:type="spellEnd"/>
      <w:r w:rsidRPr="004543FB">
        <w:rPr>
          <w:rFonts w:ascii="Times New Roman" w:eastAsia="Verdana" w:hAnsi="Times New Roman" w:cs="Times New Roman"/>
          <w:sz w:val="20"/>
          <w:szCs w:val="20"/>
        </w:rPr>
        <w:t xml:space="preserve">, H. (2019). Using automated time management enablers to improve </w:t>
      </w:r>
      <w:proofErr w:type="spellStart"/>
      <w:r w:rsidRPr="004543FB">
        <w:rPr>
          <w:rFonts w:ascii="Times New Roman" w:eastAsia="Verdana" w:hAnsi="Times New Roman" w:cs="Times New Roman"/>
          <w:sz w:val="20"/>
          <w:szCs w:val="20"/>
        </w:rPr>
        <w:t>self regulated</w:t>
      </w:r>
      <w:proofErr w:type="spellEnd"/>
      <w:r w:rsidRPr="004543FB">
        <w:rPr>
          <w:rFonts w:ascii="Times New Roman" w:eastAsia="Verdana" w:hAnsi="Times New Roman" w:cs="Times New Roman"/>
          <w:sz w:val="20"/>
          <w:szCs w:val="20"/>
        </w:rPr>
        <w:t xml:space="preserve"> learning. Active Learning in Higher Education, 23(1), 3-15. </w:t>
      </w:r>
      <w:hyperlink r:id="rId24">
        <w:r w:rsidRPr="004543FB">
          <w:rPr>
            <w:rFonts w:ascii="Times New Roman" w:eastAsia="Verdana" w:hAnsi="Times New Roman" w:cs="Times New Roman"/>
            <w:color w:val="1155CC"/>
            <w:sz w:val="20"/>
            <w:szCs w:val="20"/>
            <w:u w:val="single"/>
          </w:rPr>
          <w:t>https://doi.org/10.1177/1469787419866304</w:t>
        </w:r>
      </w:hyperlink>
    </w:p>
    <w:p w14:paraId="00000065"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Lang, A., Lim, P., Everhart, S., </w:t>
      </w:r>
      <w:proofErr w:type="spellStart"/>
      <w:r w:rsidRPr="004543FB">
        <w:rPr>
          <w:rFonts w:ascii="Times New Roman" w:eastAsia="Verdana" w:hAnsi="Times New Roman" w:cs="Times New Roman"/>
          <w:sz w:val="20"/>
          <w:szCs w:val="20"/>
        </w:rPr>
        <w:t>Linneman</w:t>
      </w:r>
      <w:proofErr w:type="spellEnd"/>
      <w:r w:rsidRPr="004543FB">
        <w:rPr>
          <w:rFonts w:ascii="Times New Roman" w:eastAsia="Verdana" w:hAnsi="Times New Roman" w:cs="Times New Roman"/>
          <w:sz w:val="20"/>
          <w:szCs w:val="20"/>
        </w:rPr>
        <w:t xml:space="preserve">, N., Davies, W., &amp; </w:t>
      </w:r>
      <w:proofErr w:type="spellStart"/>
      <w:r w:rsidRPr="004543FB">
        <w:rPr>
          <w:rFonts w:ascii="Times New Roman" w:eastAsia="Verdana" w:hAnsi="Times New Roman" w:cs="Times New Roman"/>
          <w:sz w:val="20"/>
          <w:szCs w:val="20"/>
        </w:rPr>
        <w:t>Alderfer</w:t>
      </w:r>
      <w:proofErr w:type="spellEnd"/>
      <w:r w:rsidRPr="004543FB">
        <w:rPr>
          <w:rFonts w:ascii="Times New Roman" w:eastAsia="Verdana" w:hAnsi="Times New Roman" w:cs="Times New Roman"/>
          <w:sz w:val="20"/>
          <w:szCs w:val="20"/>
        </w:rPr>
        <w:t xml:space="preserve">, M. (2022). Ethical challenges in qualitative methods to improve pediatric cli Graham, N., Graham, I., </w:t>
      </w:r>
      <w:proofErr w:type="spellStart"/>
      <w:r w:rsidRPr="004543FB">
        <w:rPr>
          <w:rFonts w:ascii="Times New Roman" w:eastAsia="Verdana" w:hAnsi="Times New Roman" w:cs="Times New Roman"/>
          <w:sz w:val="20"/>
          <w:szCs w:val="20"/>
        </w:rPr>
        <w:t>Vanderspank</w:t>
      </w:r>
      <w:proofErr w:type="spellEnd"/>
      <w:r w:rsidRPr="004543FB">
        <w:rPr>
          <w:rFonts w:ascii="Times New Roman" w:eastAsia="Verdana" w:hAnsi="Times New Roman" w:cs="Times New Roman"/>
          <w:sz w:val="20"/>
          <w:szCs w:val="20"/>
        </w:rPr>
        <w:t xml:space="preserve">‐Wright, B., </w:t>
      </w:r>
      <w:proofErr w:type="spellStart"/>
      <w:r w:rsidRPr="004543FB">
        <w:rPr>
          <w:rFonts w:ascii="Times New Roman" w:eastAsia="Verdana" w:hAnsi="Times New Roman" w:cs="Times New Roman"/>
          <w:sz w:val="20"/>
          <w:szCs w:val="20"/>
        </w:rPr>
        <w:t>N</w:t>
      </w:r>
      <w:r w:rsidRPr="004543FB">
        <w:rPr>
          <w:rFonts w:ascii="Times New Roman" w:eastAsia="Verdana" w:hAnsi="Times New Roman" w:cs="Times New Roman"/>
          <w:sz w:val="20"/>
          <w:szCs w:val="20"/>
        </w:rPr>
        <w:t>adalin‐Penno</w:t>
      </w:r>
      <w:proofErr w:type="spellEnd"/>
      <w:r w:rsidRPr="004543FB">
        <w:rPr>
          <w:rFonts w:ascii="Times New Roman" w:eastAsia="Verdana" w:hAnsi="Times New Roman" w:cs="Times New Roman"/>
          <w:sz w:val="20"/>
          <w:szCs w:val="20"/>
        </w:rPr>
        <w:t xml:space="preserve">, L., Fergusson, D., &amp; Squires, J. (2024). Planning for implementation success: insights from conducting an implementation needs assessment. </w:t>
      </w:r>
      <w:proofErr w:type="spellStart"/>
      <w:r w:rsidRPr="004543FB">
        <w:rPr>
          <w:rFonts w:ascii="Times New Roman" w:eastAsia="Verdana" w:hAnsi="Times New Roman" w:cs="Times New Roman"/>
          <w:sz w:val="20"/>
          <w:szCs w:val="20"/>
        </w:rPr>
        <w:t>Jbi</w:t>
      </w:r>
      <w:proofErr w:type="spellEnd"/>
      <w:r w:rsidRPr="004543FB">
        <w:rPr>
          <w:rFonts w:ascii="Times New Roman" w:eastAsia="Verdana" w:hAnsi="Times New Roman" w:cs="Times New Roman"/>
          <w:sz w:val="20"/>
          <w:szCs w:val="20"/>
        </w:rPr>
        <w:t xml:space="preserve"> Evidence Implementation, 23(1), 90-102. </w:t>
      </w:r>
      <w:hyperlink r:id="rId25">
        <w:r w:rsidRPr="004543FB">
          <w:rPr>
            <w:rFonts w:ascii="Times New Roman" w:eastAsia="Verdana" w:hAnsi="Times New Roman" w:cs="Times New Roman"/>
            <w:color w:val="1155CC"/>
            <w:sz w:val="20"/>
            <w:szCs w:val="20"/>
            <w:u w:val="single"/>
          </w:rPr>
          <w:t>https://doi.org/10.1097/xeb.0000000000000458</w:t>
        </w:r>
      </w:hyperlink>
    </w:p>
    <w:p w14:paraId="00000066"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Lappo</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Violetta</w:t>
      </w:r>
      <w:proofErr w:type="spellEnd"/>
      <w:r w:rsidRPr="004543FB">
        <w:rPr>
          <w:rFonts w:ascii="Times New Roman" w:eastAsia="Verdana" w:hAnsi="Times New Roman" w:cs="Times New Roman"/>
          <w:sz w:val="20"/>
          <w:szCs w:val="20"/>
        </w:rPr>
        <w:t xml:space="preserve">. (2022). HUMANISTIC PRINCIPLES OF FORMING SPIRITUAL VALUES OF STUDENTS IN HIGHER EDUCATION INSTITUTIONS. Scientific journal of </w:t>
      </w:r>
      <w:proofErr w:type="spellStart"/>
      <w:r w:rsidRPr="004543FB">
        <w:rPr>
          <w:rFonts w:ascii="Times New Roman" w:eastAsia="Verdana" w:hAnsi="Times New Roman" w:cs="Times New Roman"/>
          <w:sz w:val="20"/>
          <w:szCs w:val="20"/>
        </w:rPr>
        <w:t>Khortytsia</w:t>
      </w:r>
      <w:proofErr w:type="spellEnd"/>
      <w:r w:rsidRPr="004543FB">
        <w:rPr>
          <w:rFonts w:ascii="Times New Roman" w:eastAsia="Verdana" w:hAnsi="Times New Roman" w:cs="Times New Roman"/>
          <w:sz w:val="20"/>
          <w:szCs w:val="20"/>
        </w:rPr>
        <w:t xml:space="preserve"> National Academy. 15-24. </w:t>
      </w:r>
      <w:hyperlink r:id="rId26">
        <w:r w:rsidRPr="004543FB">
          <w:rPr>
            <w:rFonts w:ascii="Times New Roman" w:eastAsia="Verdana" w:hAnsi="Times New Roman" w:cs="Times New Roman"/>
            <w:color w:val="1155CC"/>
            <w:sz w:val="20"/>
            <w:szCs w:val="20"/>
            <w:u w:val="single"/>
          </w:rPr>
          <w:t>https://www.researchgate.net/publication/365225900_HUMANISTIC_PRINCIPLES_OF_FORMING_SPIRITUAL_VALUES_OF_STUDENTS_IN_HI</w:t>
        </w:r>
        <w:r w:rsidRPr="004543FB">
          <w:rPr>
            <w:rFonts w:ascii="Times New Roman" w:eastAsia="Verdana" w:hAnsi="Times New Roman" w:cs="Times New Roman"/>
            <w:color w:val="1155CC"/>
            <w:sz w:val="20"/>
            <w:szCs w:val="20"/>
            <w:u w:val="single"/>
          </w:rPr>
          <w:t>GHER_EDUCATION_INSTITUTIONS</w:t>
        </w:r>
      </w:hyperlink>
      <w:r w:rsidRPr="004543FB">
        <w:rPr>
          <w:rFonts w:ascii="Times New Roman" w:eastAsia="Verdana" w:hAnsi="Times New Roman" w:cs="Times New Roman"/>
          <w:sz w:val="20"/>
          <w:szCs w:val="20"/>
        </w:rPr>
        <w:t xml:space="preserve"> </w:t>
      </w:r>
    </w:p>
    <w:p w14:paraId="00000067"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Lien, R., </w:t>
      </w:r>
      <w:proofErr w:type="spellStart"/>
      <w:r w:rsidRPr="004543FB">
        <w:rPr>
          <w:rFonts w:ascii="Times New Roman" w:eastAsia="Verdana" w:hAnsi="Times New Roman" w:cs="Times New Roman"/>
          <w:sz w:val="20"/>
          <w:szCs w:val="20"/>
        </w:rPr>
        <w:t>Bendixen</w:t>
      </w:r>
      <w:proofErr w:type="spellEnd"/>
      <w:r w:rsidRPr="004543FB">
        <w:rPr>
          <w:rFonts w:ascii="Times New Roman" w:eastAsia="Verdana" w:hAnsi="Times New Roman" w:cs="Times New Roman"/>
          <w:sz w:val="20"/>
          <w:szCs w:val="20"/>
        </w:rPr>
        <w:t xml:space="preserve">, M., &amp; </w:t>
      </w:r>
      <w:proofErr w:type="spellStart"/>
      <w:r w:rsidRPr="004543FB">
        <w:rPr>
          <w:rFonts w:ascii="Times New Roman" w:eastAsia="Verdana" w:hAnsi="Times New Roman" w:cs="Times New Roman"/>
          <w:sz w:val="20"/>
          <w:szCs w:val="20"/>
        </w:rPr>
        <w:t>Kennair</w:t>
      </w:r>
      <w:proofErr w:type="spellEnd"/>
      <w:r w:rsidRPr="004543FB">
        <w:rPr>
          <w:rFonts w:ascii="Times New Roman" w:eastAsia="Verdana" w:hAnsi="Times New Roman" w:cs="Times New Roman"/>
          <w:sz w:val="20"/>
          <w:szCs w:val="20"/>
        </w:rPr>
        <w:t xml:space="preserve">, L. (2020). The meaning of service questionnaire and its association with psychological growth among veterans. Military Psychology, 32(5), 453-467. </w:t>
      </w:r>
      <w:hyperlink r:id="rId27">
        <w:r w:rsidRPr="004543FB">
          <w:rPr>
            <w:rFonts w:ascii="Times New Roman" w:eastAsia="Verdana" w:hAnsi="Times New Roman" w:cs="Times New Roman"/>
            <w:color w:val="1155CC"/>
            <w:sz w:val="20"/>
            <w:szCs w:val="20"/>
            <w:u w:val="single"/>
          </w:rPr>
          <w:t>https://doi.org/10.1080/08995605.2020.1794477</w:t>
        </w:r>
      </w:hyperlink>
    </w:p>
    <w:p w14:paraId="00000068"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Limna</w:t>
      </w:r>
      <w:proofErr w:type="spellEnd"/>
      <w:r w:rsidRPr="004543FB">
        <w:rPr>
          <w:rFonts w:ascii="Times New Roman" w:eastAsia="Verdana" w:hAnsi="Times New Roman" w:cs="Times New Roman"/>
          <w:sz w:val="20"/>
          <w:szCs w:val="20"/>
        </w:rPr>
        <w:t xml:space="preserve">, P. and </w:t>
      </w:r>
      <w:proofErr w:type="spellStart"/>
      <w:r w:rsidRPr="004543FB">
        <w:rPr>
          <w:rFonts w:ascii="Times New Roman" w:eastAsia="Verdana" w:hAnsi="Times New Roman" w:cs="Times New Roman"/>
          <w:sz w:val="20"/>
          <w:szCs w:val="20"/>
        </w:rPr>
        <w:t>Kraiwanit</w:t>
      </w:r>
      <w:proofErr w:type="spellEnd"/>
      <w:r w:rsidRPr="004543FB">
        <w:rPr>
          <w:rFonts w:ascii="Times New Roman" w:eastAsia="Verdana" w:hAnsi="Times New Roman" w:cs="Times New Roman"/>
          <w:sz w:val="20"/>
          <w:szCs w:val="20"/>
        </w:rPr>
        <w:t xml:space="preserve">, T. (2024). Google </w:t>
      </w:r>
      <w:proofErr w:type="spellStart"/>
      <w:r w:rsidRPr="004543FB">
        <w:rPr>
          <w:rFonts w:ascii="Times New Roman" w:eastAsia="Verdana" w:hAnsi="Times New Roman" w:cs="Times New Roman"/>
          <w:sz w:val="20"/>
          <w:szCs w:val="20"/>
        </w:rPr>
        <w:t>gemini's</w:t>
      </w:r>
      <w:proofErr w:type="spellEnd"/>
      <w:r w:rsidRPr="004543FB">
        <w:rPr>
          <w:rFonts w:ascii="Times New Roman" w:eastAsia="Verdana" w:hAnsi="Times New Roman" w:cs="Times New Roman"/>
          <w:sz w:val="20"/>
          <w:szCs w:val="20"/>
        </w:rPr>
        <w:t xml:space="preserve"> influence on workplace dynamics in </w:t>
      </w:r>
      <w:proofErr w:type="spellStart"/>
      <w:r w:rsidRPr="004543FB">
        <w:rPr>
          <w:rFonts w:ascii="Times New Roman" w:eastAsia="Verdana" w:hAnsi="Times New Roman" w:cs="Times New Roman"/>
          <w:sz w:val="20"/>
          <w:szCs w:val="20"/>
        </w:rPr>
        <w:t>bangkok</w:t>
      </w:r>
      <w:proofErr w:type="spellEnd"/>
      <w:r w:rsidRPr="004543FB">
        <w:rPr>
          <w:rFonts w:ascii="Times New Roman" w:eastAsia="Verdana" w:hAnsi="Times New Roman" w:cs="Times New Roman"/>
          <w:sz w:val="20"/>
          <w:szCs w:val="20"/>
        </w:rPr>
        <w:t xml:space="preserve">. Hum. </w:t>
      </w:r>
      <w:proofErr w:type="spellStart"/>
      <w:r w:rsidRPr="004543FB">
        <w:rPr>
          <w:rFonts w:ascii="Times New Roman" w:eastAsia="Verdana" w:hAnsi="Times New Roman" w:cs="Times New Roman"/>
          <w:sz w:val="20"/>
          <w:szCs w:val="20"/>
        </w:rPr>
        <w:t>Behav</w:t>
      </w:r>
      <w:proofErr w:type="spellEnd"/>
      <w:r w:rsidRPr="004543FB">
        <w:rPr>
          <w:rFonts w:ascii="Times New Roman" w:eastAsia="Verdana" w:hAnsi="Times New Roman" w:cs="Times New Roman"/>
          <w:sz w:val="20"/>
          <w:szCs w:val="20"/>
        </w:rPr>
        <w:t xml:space="preserve">. Dev. Soc., 25(2), 126-136. </w:t>
      </w:r>
      <w:hyperlink r:id="rId28">
        <w:r w:rsidRPr="004543FB">
          <w:rPr>
            <w:rFonts w:ascii="Times New Roman" w:eastAsia="Verdana" w:hAnsi="Times New Roman" w:cs="Times New Roman"/>
            <w:color w:val="1155CC"/>
            <w:sz w:val="20"/>
            <w:szCs w:val="20"/>
            <w:u w:val="single"/>
          </w:rPr>
          <w:t>https://doi.org/10.62370/hbds.v25i2.273960</w:t>
        </w:r>
      </w:hyperlink>
    </w:p>
    <w:p w14:paraId="00000069"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Lincoln, Y. S., &amp; </w:t>
      </w:r>
      <w:proofErr w:type="spellStart"/>
      <w:r w:rsidRPr="004543FB">
        <w:rPr>
          <w:rFonts w:ascii="Times New Roman" w:eastAsia="Verdana" w:hAnsi="Times New Roman" w:cs="Times New Roman"/>
          <w:sz w:val="20"/>
          <w:szCs w:val="20"/>
        </w:rPr>
        <w:t>Guba</w:t>
      </w:r>
      <w:proofErr w:type="spellEnd"/>
      <w:r w:rsidRPr="004543FB">
        <w:rPr>
          <w:rFonts w:ascii="Times New Roman" w:eastAsia="Verdana" w:hAnsi="Times New Roman" w:cs="Times New Roman"/>
          <w:sz w:val="20"/>
          <w:szCs w:val="20"/>
        </w:rPr>
        <w:t>, E. G. (1985). Naturalistic inquiry. Sage Publications.</w:t>
      </w:r>
    </w:p>
    <w:p w14:paraId="0000006A"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Mills, A., </w:t>
      </w:r>
      <w:proofErr w:type="spellStart"/>
      <w:r w:rsidRPr="004543FB">
        <w:rPr>
          <w:rFonts w:ascii="Times New Roman" w:eastAsia="Verdana" w:hAnsi="Times New Roman" w:cs="Times New Roman"/>
          <w:sz w:val="20"/>
          <w:szCs w:val="20"/>
        </w:rPr>
        <w:t>Ryden</w:t>
      </w:r>
      <w:proofErr w:type="spellEnd"/>
      <w:r w:rsidRPr="004543FB">
        <w:rPr>
          <w:rFonts w:ascii="Times New Roman" w:eastAsia="Verdana" w:hAnsi="Times New Roman" w:cs="Times New Roman"/>
          <w:sz w:val="20"/>
          <w:szCs w:val="20"/>
        </w:rPr>
        <w:t>, J., &amp; Knight, A. (2020). Juggling to find balance: hearing the voices of undergraduate student nurses. Britis</w:t>
      </w:r>
      <w:r w:rsidRPr="004543FB">
        <w:rPr>
          <w:rFonts w:ascii="Times New Roman" w:eastAsia="Verdana" w:hAnsi="Times New Roman" w:cs="Times New Roman"/>
          <w:sz w:val="20"/>
          <w:szCs w:val="20"/>
        </w:rPr>
        <w:t xml:space="preserve">h Journal of Nursing, 29(15), 897-903. </w:t>
      </w:r>
      <w:hyperlink r:id="rId29">
        <w:r w:rsidRPr="004543FB">
          <w:rPr>
            <w:rFonts w:ascii="Times New Roman" w:eastAsia="Verdana" w:hAnsi="Times New Roman" w:cs="Times New Roman"/>
            <w:color w:val="1155CC"/>
            <w:sz w:val="20"/>
            <w:szCs w:val="20"/>
            <w:u w:val="single"/>
          </w:rPr>
          <w:t>https://doi.org/10.12968/bjon.2020.29.15.897</w:t>
        </w:r>
      </w:hyperlink>
    </w:p>
    <w:p w14:paraId="0000006B"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Montaño</w:t>
      </w:r>
      <w:proofErr w:type="spellEnd"/>
      <w:r w:rsidRPr="004543FB">
        <w:rPr>
          <w:rFonts w:ascii="Times New Roman" w:eastAsia="Verdana" w:hAnsi="Times New Roman" w:cs="Times New Roman"/>
          <w:sz w:val="20"/>
          <w:szCs w:val="20"/>
        </w:rPr>
        <w:t>, D. E., &amp; Francisco, B. (2024). Surviving and Thriving: Stories of Single Student-Mothers in Western</w:t>
      </w:r>
      <w:r w:rsidRPr="004543FB">
        <w:rPr>
          <w:rFonts w:ascii="Times New Roman" w:eastAsia="Verdana" w:hAnsi="Times New Roman" w:cs="Times New Roman"/>
          <w:sz w:val="20"/>
          <w:szCs w:val="20"/>
        </w:rPr>
        <w:t xml:space="preserve"> Visayas, Philippines. European Modern Studies Journal, 8(5), 1–12. </w:t>
      </w:r>
      <w:hyperlink r:id="rId30">
        <w:r w:rsidRPr="004543FB">
          <w:rPr>
            <w:rFonts w:ascii="Times New Roman" w:eastAsia="Verdana" w:hAnsi="Times New Roman" w:cs="Times New Roman"/>
            <w:color w:val="1155CC"/>
            <w:sz w:val="20"/>
            <w:szCs w:val="20"/>
            <w:u w:val="single"/>
          </w:rPr>
          <w:t>https://doi.org/10.59573/emsj.8(5).2024.1</w:t>
        </w:r>
      </w:hyperlink>
    </w:p>
    <w:p w14:paraId="0000006C"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Muhonen</w:t>
      </w:r>
      <w:proofErr w:type="spellEnd"/>
      <w:r w:rsidRPr="004543FB">
        <w:rPr>
          <w:rFonts w:ascii="Times New Roman" w:eastAsia="Verdana" w:hAnsi="Times New Roman" w:cs="Times New Roman"/>
          <w:sz w:val="20"/>
          <w:szCs w:val="20"/>
        </w:rPr>
        <w:t>, T. and Berthelsen, H. (2020). Activity-based work and its implications for t</w:t>
      </w:r>
      <w:r w:rsidRPr="004543FB">
        <w:rPr>
          <w:rFonts w:ascii="Times New Roman" w:eastAsia="Verdana" w:hAnsi="Times New Roman" w:cs="Times New Roman"/>
          <w:sz w:val="20"/>
          <w:szCs w:val="20"/>
        </w:rPr>
        <w:t xml:space="preserve">he academic work environment. Journal of Applied Research in Higher Education, 13(3), 889-899. </w:t>
      </w:r>
      <w:hyperlink r:id="rId31">
        <w:r w:rsidRPr="004543FB">
          <w:rPr>
            <w:rFonts w:ascii="Times New Roman" w:eastAsia="Verdana" w:hAnsi="Times New Roman" w:cs="Times New Roman"/>
            <w:color w:val="1155CC"/>
            <w:sz w:val="20"/>
            <w:szCs w:val="20"/>
            <w:u w:val="single"/>
          </w:rPr>
          <w:t>https://doi.org/10.1108/jarhe-02-2020-0046</w:t>
        </w:r>
      </w:hyperlink>
    </w:p>
    <w:p w14:paraId="0000006D"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Munich Business School. (2022, December 12). What is a “</w:t>
      </w:r>
      <w:r w:rsidRPr="004543FB">
        <w:rPr>
          <w:rFonts w:ascii="Times New Roman" w:eastAsia="Verdana" w:hAnsi="Times New Roman" w:cs="Times New Roman"/>
          <w:sz w:val="20"/>
          <w:szCs w:val="20"/>
        </w:rPr>
        <w:t xml:space="preserve">Working Student”? Munich Business School Insights. </w:t>
      </w:r>
      <w:hyperlink r:id="rId32">
        <w:r w:rsidRPr="004543FB">
          <w:rPr>
            <w:rFonts w:ascii="Times New Roman" w:eastAsia="Verdana" w:hAnsi="Times New Roman" w:cs="Times New Roman"/>
            <w:color w:val="1155CC"/>
            <w:sz w:val="20"/>
            <w:szCs w:val="20"/>
            <w:u w:val="single"/>
          </w:rPr>
          <w:t>https://www.munich-business-school.de/insights/en/2022/what-is-a-working-student/</w:t>
        </w:r>
      </w:hyperlink>
    </w:p>
    <w:p w14:paraId="0000006E"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Oertele</w:t>
      </w:r>
      <w:proofErr w:type="spellEnd"/>
      <w:r w:rsidRPr="004543FB">
        <w:rPr>
          <w:rFonts w:ascii="Times New Roman" w:eastAsia="Verdana" w:hAnsi="Times New Roman" w:cs="Times New Roman"/>
          <w:sz w:val="20"/>
          <w:szCs w:val="20"/>
        </w:rPr>
        <w:t>, Ž. (2019). Mo</w:t>
      </w:r>
      <w:r w:rsidRPr="004543FB">
        <w:rPr>
          <w:rFonts w:ascii="Times New Roman" w:eastAsia="Verdana" w:hAnsi="Times New Roman" w:cs="Times New Roman"/>
          <w:sz w:val="20"/>
          <w:szCs w:val="20"/>
        </w:rPr>
        <w:t xml:space="preserve">tives and Benefits of Working While Studying. </w:t>
      </w:r>
      <w:proofErr w:type="spellStart"/>
      <w:r w:rsidRPr="004543FB">
        <w:rPr>
          <w:rFonts w:ascii="Times New Roman" w:eastAsia="Verdana" w:hAnsi="Times New Roman" w:cs="Times New Roman"/>
          <w:sz w:val="20"/>
          <w:szCs w:val="20"/>
        </w:rPr>
        <w:t>Eurostudent</w:t>
      </w:r>
      <w:proofErr w:type="spellEnd"/>
      <w:r w:rsidRPr="004543FB">
        <w:rPr>
          <w:rFonts w:ascii="Times New Roman" w:eastAsia="Verdana" w:hAnsi="Times New Roman" w:cs="Times New Roman"/>
          <w:sz w:val="20"/>
          <w:szCs w:val="20"/>
        </w:rPr>
        <w:t>. https://www.eurostudent.eu/download_files/documents/EUROSTUDENT_INTELLIGENCE_BRIEF_52019.pdf</w:t>
      </w:r>
    </w:p>
    <w:p w14:paraId="0000006F"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Patka</w:t>
      </w:r>
      <w:proofErr w:type="spellEnd"/>
      <w:r w:rsidRPr="004543FB">
        <w:rPr>
          <w:rFonts w:ascii="Times New Roman" w:eastAsia="Verdana" w:hAnsi="Times New Roman" w:cs="Times New Roman"/>
          <w:sz w:val="20"/>
          <w:szCs w:val="20"/>
        </w:rPr>
        <w:t xml:space="preserve">, M., </w:t>
      </w:r>
      <w:proofErr w:type="spellStart"/>
      <w:r w:rsidRPr="004543FB">
        <w:rPr>
          <w:rFonts w:ascii="Times New Roman" w:eastAsia="Verdana" w:hAnsi="Times New Roman" w:cs="Times New Roman"/>
          <w:sz w:val="20"/>
          <w:szCs w:val="20"/>
        </w:rPr>
        <w:t>Bukhash</w:t>
      </w:r>
      <w:proofErr w:type="spellEnd"/>
      <w:r w:rsidRPr="004543FB">
        <w:rPr>
          <w:rFonts w:ascii="Times New Roman" w:eastAsia="Verdana" w:hAnsi="Times New Roman" w:cs="Times New Roman"/>
          <w:sz w:val="20"/>
          <w:szCs w:val="20"/>
        </w:rPr>
        <w:t xml:space="preserve">, M., </w:t>
      </w:r>
      <w:proofErr w:type="spellStart"/>
      <w:r w:rsidRPr="004543FB">
        <w:rPr>
          <w:rFonts w:ascii="Times New Roman" w:eastAsia="Verdana" w:hAnsi="Times New Roman" w:cs="Times New Roman"/>
          <w:sz w:val="20"/>
          <w:szCs w:val="20"/>
        </w:rPr>
        <w:t>Jogia</w:t>
      </w:r>
      <w:proofErr w:type="spellEnd"/>
      <w:r w:rsidRPr="004543FB">
        <w:rPr>
          <w:rFonts w:ascii="Times New Roman" w:eastAsia="Verdana" w:hAnsi="Times New Roman" w:cs="Times New Roman"/>
          <w:sz w:val="20"/>
          <w:szCs w:val="20"/>
        </w:rPr>
        <w:t xml:space="preserve">, J., </w:t>
      </w:r>
      <w:proofErr w:type="spellStart"/>
      <w:r w:rsidRPr="004543FB">
        <w:rPr>
          <w:rFonts w:ascii="Times New Roman" w:eastAsia="Verdana" w:hAnsi="Times New Roman" w:cs="Times New Roman"/>
          <w:sz w:val="20"/>
          <w:szCs w:val="20"/>
        </w:rPr>
        <w:t>Barbato</w:t>
      </w:r>
      <w:proofErr w:type="spellEnd"/>
      <w:r w:rsidRPr="004543FB">
        <w:rPr>
          <w:rFonts w:ascii="Times New Roman" w:eastAsia="Verdana" w:hAnsi="Times New Roman" w:cs="Times New Roman"/>
          <w:sz w:val="20"/>
          <w:szCs w:val="20"/>
        </w:rPr>
        <w:t>, M., &amp; Moussa, M. (2021). Undergraduate teaching assistantshi</w:t>
      </w:r>
      <w:r w:rsidRPr="004543FB">
        <w:rPr>
          <w:rFonts w:ascii="Times New Roman" w:eastAsia="Verdana" w:hAnsi="Times New Roman" w:cs="Times New Roman"/>
          <w:sz w:val="20"/>
          <w:szCs w:val="20"/>
        </w:rPr>
        <w:t xml:space="preserve">ps: exploring career readiness and </w:t>
      </w:r>
      <w:proofErr w:type="spellStart"/>
      <w:r w:rsidRPr="004543FB">
        <w:rPr>
          <w:rFonts w:ascii="Times New Roman" w:eastAsia="Verdana" w:hAnsi="Times New Roman" w:cs="Times New Roman"/>
          <w:sz w:val="20"/>
          <w:szCs w:val="20"/>
        </w:rPr>
        <w:t>relationality</w:t>
      </w:r>
      <w:proofErr w:type="spellEnd"/>
      <w:r w:rsidRPr="004543FB">
        <w:rPr>
          <w:rFonts w:ascii="Times New Roman" w:eastAsia="Verdana" w:hAnsi="Times New Roman" w:cs="Times New Roman"/>
          <w:sz w:val="20"/>
          <w:szCs w:val="20"/>
        </w:rPr>
        <w:t xml:space="preserve"> among </w:t>
      </w:r>
      <w:proofErr w:type="spellStart"/>
      <w:r w:rsidRPr="004543FB">
        <w:rPr>
          <w:rFonts w:ascii="Times New Roman" w:eastAsia="Verdana" w:hAnsi="Times New Roman" w:cs="Times New Roman"/>
          <w:sz w:val="20"/>
          <w:szCs w:val="20"/>
        </w:rPr>
        <w:t>emirati</w:t>
      </w:r>
      <w:proofErr w:type="spellEnd"/>
      <w:r w:rsidRPr="004543FB">
        <w:rPr>
          <w:rFonts w:ascii="Times New Roman" w:eastAsia="Verdana" w:hAnsi="Times New Roman" w:cs="Times New Roman"/>
          <w:sz w:val="20"/>
          <w:szCs w:val="20"/>
        </w:rPr>
        <w:t xml:space="preserve"> students. Higher Education Skills and Work-Based Learning, 12(1), 64-77. </w:t>
      </w:r>
      <w:hyperlink r:id="rId33">
        <w:r w:rsidRPr="004543FB">
          <w:rPr>
            <w:rFonts w:ascii="Times New Roman" w:eastAsia="Verdana" w:hAnsi="Times New Roman" w:cs="Times New Roman"/>
            <w:color w:val="1155CC"/>
            <w:sz w:val="20"/>
            <w:szCs w:val="20"/>
            <w:u w:val="single"/>
          </w:rPr>
          <w:t>https://doi.org/10.1108/heswbl-03-2021-0045</w:t>
        </w:r>
      </w:hyperlink>
    </w:p>
    <w:p w14:paraId="00000070"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lastRenderedPageBreak/>
        <w:t>Peck, A., &amp; C</w:t>
      </w:r>
      <w:r w:rsidRPr="004543FB">
        <w:rPr>
          <w:rFonts w:ascii="Times New Roman" w:eastAsia="Verdana" w:hAnsi="Times New Roman" w:cs="Times New Roman"/>
          <w:sz w:val="20"/>
          <w:szCs w:val="20"/>
        </w:rPr>
        <w:t>allahan, K. (2019). Connecting student employment and leadership development. New Directions for Student Leadership, 2019(162), 9–22. https://doi.org/10.1002/yd.20330</w:t>
      </w:r>
    </w:p>
    <w:p w14:paraId="00000071"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Peng, Y., </w:t>
      </w:r>
      <w:proofErr w:type="spellStart"/>
      <w:r w:rsidRPr="004543FB">
        <w:rPr>
          <w:rFonts w:ascii="Times New Roman" w:eastAsia="Verdana" w:hAnsi="Times New Roman" w:cs="Times New Roman"/>
          <w:sz w:val="20"/>
          <w:szCs w:val="20"/>
        </w:rPr>
        <w:t>Lv</w:t>
      </w:r>
      <w:proofErr w:type="spellEnd"/>
      <w:r w:rsidRPr="004543FB">
        <w:rPr>
          <w:rFonts w:ascii="Times New Roman" w:eastAsia="Verdana" w:hAnsi="Times New Roman" w:cs="Times New Roman"/>
          <w:sz w:val="20"/>
          <w:szCs w:val="20"/>
        </w:rPr>
        <w:t>, S. B., Low, S. R., &amp; Bono, S. A. (2023). The impact of employment stress on</w:t>
      </w:r>
      <w:r w:rsidRPr="004543FB">
        <w:rPr>
          <w:rFonts w:ascii="Times New Roman" w:eastAsia="Verdana" w:hAnsi="Times New Roman" w:cs="Times New Roman"/>
          <w:sz w:val="20"/>
          <w:szCs w:val="20"/>
        </w:rPr>
        <w:t xml:space="preserve"> college students: Psychological well-being during COVID-19 pandemic in China. Current Psychology, 43(20), 18647–18658. https://doi.org/10.1007/s12144-023-04785-w</w:t>
      </w:r>
    </w:p>
    <w:p w14:paraId="00000072"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Pilapil</w:t>
      </w:r>
      <w:proofErr w:type="spellEnd"/>
      <w:r w:rsidRPr="004543FB">
        <w:rPr>
          <w:rFonts w:ascii="Times New Roman" w:eastAsia="Verdana" w:hAnsi="Times New Roman" w:cs="Times New Roman"/>
          <w:sz w:val="20"/>
          <w:szCs w:val="20"/>
        </w:rPr>
        <w:t xml:space="preserve">, M. J. C., &amp; </w:t>
      </w:r>
      <w:proofErr w:type="spellStart"/>
      <w:r w:rsidRPr="004543FB">
        <w:rPr>
          <w:rFonts w:ascii="Times New Roman" w:eastAsia="Verdana" w:hAnsi="Times New Roman" w:cs="Times New Roman"/>
          <w:sz w:val="20"/>
          <w:szCs w:val="20"/>
        </w:rPr>
        <w:t>Cutamora</w:t>
      </w:r>
      <w:proofErr w:type="spellEnd"/>
      <w:r w:rsidRPr="004543FB">
        <w:rPr>
          <w:rFonts w:ascii="Times New Roman" w:eastAsia="Verdana" w:hAnsi="Times New Roman" w:cs="Times New Roman"/>
          <w:sz w:val="20"/>
          <w:szCs w:val="20"/>
        </w:rPr>
        <w:t xml:space="preserve">, E. R. (2025). </w:t>
      </w:r>
      <w:proofErr w:type="spellStart"/>
      <w:r w:rsidRPr="004543FB">
        <w:rPr>
          <w:rFonts w:ascii="Times New Roman" w:eastAsia="Verdana" w:hAnsi="Times New Roman" w:cs="Times New Roman"/>
          <w:sz w:val="20"/>
          <w:szCs w:val="20"/>
        </w:rPr>
        <w:t>Hamon</w:t>
      </w:r>
      <w:proofErr w:type="spellEnd"/>
      <w:r w:rsidRPr="004543FB">
        <w:rPr>
          <w:rFonts w:ascii="Times New Roman" w:eastAsia="Verdana" w:hAnsi="Times New Roman" w:cs="Times New Roman"/>
          <w:sz w:val="20"/>
          <w:szCs w:val="20"/>
        </w:rPr>
        <w:t xml:space="preserve"> ng </w:t>
      </w:r>
      <w:proofErr w:type="spellStart"/>
      <w:r w:rsidRPr="004543FB">
        <w:rPr>
          <w:rFonts w:ascii="Times New Roman" w:eastAsia="Verdana" w:hAnsi="Times New Roman" w:cs="Times New Roman"/>
          <w:sz w:val="20"/>
          <w:szCs w:val="20"/>
        </w:rPr>
        <w:t>mga</w:t>
      </w:r>
      <w:proofErr w:type="spellEnd"/>
      <w:r w:rsidRPr="004543FB">
        <w:rPr>
          <w:rFonts w:ascii="Times New Roman" w:eastAsia="Verdana" w:hAnsi="Times New Roman" w:cs="Times New Roman"/>
          <w:sz w:val="20"/>
          <w:szCs w:val="20"/>
        </w:rPr>
        <w:t xml:space="preserve"> mag-</w:t>
      </w:r>
      <w:proofErr w:type="spellStart"/>
      <w:r w:rsidRPr="004543FB">
        <w:rPr>
          <w:rFonts w:ascii="Times New Roman" w:eastAsia="Verdana" w:hAnsi="Times New Roman" w:cs="Times New Roman"/>
          <w:sz w:val="20"/>
          <w:szCs w:val="20"/>
        </w:rPr>
        <w:t>aaral</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sa</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bsed</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filipino</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na</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kabilang</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sa</w:t>
      </w:r>
      <w:proofErr w:type="spellEnd"/>
      <w:r w:rsidRPr="004543FB">
        <w:rPr>
          <w:rFonts w:ascii="Times New Roman" w:eastAsia="Verdana" w:hAnsi="Times New Roman" w:cs="Times New Roman"/>
          <w:sz w:val="20"/>
          <w:szCs w:val="20"/>
        </w:rPr>
        <w:t xml:space="preserve"> student resource and assistantship training scholarship (</w:t>
      </w:r>
      <w:proofErr w:type="spellStart"/>
      <w:r w:rsidRPr="004543FB">
        <w:rPr>
          <w:rFonts w:ascii="Times New Roman" w:eastAsia="Verdana" w:hAnsi="Times New Roman" w:cs="Times New Roman"/>
          <w:sz w:val="20"/>
          <w:szCs w:val="20"/>
        </w:rPr>
        <w:t>strat</w:t>
      </w:r>
      <w:proofErr w:type="spellEnd"/>
      <w:r w:rsidRPr="004543FB">
        <w:rPr>
          <w:rFonts w:ascii="Times New Roman" w:eastAsia="Verdana" w:hAnsi="Times New Roman" w:cs="Times New Roman"/>
          <w:sz w:val="20"/>
          <w:szCs w:val="20"/>
        </w:rPr>
        <w:t xml:space="preserve">). EPRA International Journal of Multidisciplinary Research, 777–794. </w:t>
      </w:r>
      <w:hyperlink r:id="rId34">
        <w:r w:rsidRPr="004543FB">
          <w:rPr>
            <w:rFonts w:ascii="Times New Roman" w:eastAsia="Verdana" w:hAnsi="Times New Roman" w:cs="Times New Roman"/>
            <w:color w:val="1155CC"/>
            <w:sz w:val="20"/>
            <w:szCs w:val="20"/>
            <w:u w:val="single"/>
          </w:rPr>
          <w:t>https://doi.org/10.36713/epra19861</w:t>
        </w:r>
      </w:hyperlink>
    </w:p>
    <w:p w14:paraId="00000073"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Priyatna</w:t>
      </w:r>
      <w:proofErr w:type="spellEnd"/>
      <w:r w:rsidRPr="004543FB">
        <w:rPr>
          <w:rFonts w:ascii="Times New Roman" w:eastAsia="Verdana" w:hAnsi="Times New Roman" w:cs="Times New Roman"/>
          <w:sz w:val="20"/>
          <w:szCs w:val="20"/>
        </w:rPr>
        <w:t xml:space="preserve">, N. (2022). </w:t>
      </w:r>
      <w:proofErr w:type="spellStart"/>
      <w:r w:rsidRPr="004543FB">
        <w:rPr>
          <w:rFonts w:ascii="Times New Roman" w:eastAsia="Verdana" w:hAnsi="Times New Roman" w:cs="Times New Roman"/>
          <w:sz w:val="20"/>
          <w:szCs w:val="20"/>
        </w:rPr>
        <w:t>Mengatasi</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masalah</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kesepian</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pada</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mahasiswa</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melalui</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formasi</w:t>
      </w:r>
      <w:proofErr w:type="spellEnd"/>
      <w:r w:rsidRPr="004543FB">
        <w:rPr>
          <w:rFonts w:ascii="Times New Roman" w:eastAsia="Verdana" w:hAnsi="Times New Roman" w:cs="Times New Roman"/>
          <w:sz w:val="20"/>
          <w:szCs w:val="20"/>
        </w:rPr>
        <w:t xml:space="preserve"> spiritual [overcoming the problem of loneliness in college students by spiritual formation]. 2(2), 23–34. </w:t>
      </w:r>
      <w:hyperlink r:id="rId35">
        <w:r w:rsidRPr="004543FB">
          <w:rPr>
            <w:rFonts w:ascii="Times New Roman" w:eastAsia="Verdana" w:hAnsi="Times New Roman" w:cs="Times New Roman"/>
            <w:color w:val="1155CC"/>
            <w:sz w:val="20"/>
            <w:szCs w:val="20"/>
            <w:u w:val="single"/>
          </w:rPr>
          <w:t>https://doi.org/10.19166/kairos.v2i2.5667</w:t>
        </w:r>
      </w:hyperlink>
      <w:r w:rsidRPr="004543FB">
        <w:rPr>
          <w:rFonts w:ascii="Times New Roman" w:eastAsia="Verdana" w:hAnsi="Times New Roman" w:cs="Times New Roman"/>
          <w:sz w:val="20"/>
          <w:szCs w:val="20"/>
        </w:rPr>
        <w:t xml:space="preserve">  </w:t>
      </w:r>
    </w:p>
    <w:p w14:paraId="00000074"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Putra, A., </w:t>
      </w:r>
      <w:proofErr w:type="spellStart"/>
      <w:r w:rsidRPr="004543FB">
        <w:rPr>
          <w:rFonts w:ascii="Times New Roman" w:eastAsia="Verdana" w:hAnsi="Times New Roman" w:cs="Times New Roman"/>
          <w:sz w:val="20"/>
          <w:szCs w:val="20"/>
        </w:rPr>
        <w:t>Kusumawati</w:t>
      </w:r>
      <w:proofErr w:type="spellEnd"/>
      <w:r w:rsidRPr="004543FB">
        <w:rPr>
          <w:rFonts w:ascii="Times New Roman" w:eastAsia="Verdana" w:hAnsi="Times New Roman" w:cs="Times New Roman"/>
          <w:sz w:val="20"/>
          <w:szCs w:val="20"/>
        </w:rPr>
        <w:t xml:space="preserve">, E., &amp; </w:t>
      </w:r>
      <w:proofErr w:type="spellStart"/>
      <w:r w:rsidRPr="004543FB">
        <w:rPr>
          <w:rFonts w:ascii="Times New Roman" w:eastAsia="Verdana" w:hAnsi="Times New Roman" w:cs="Times New Roman"/>
          <w:sz w:val="20"/>
          <w:szCs w:val="20"/>
        </w:rPr>
        <w:t>Kartikasari</w:t>
      </w:r>
      <w:proofErr w:type="spellEnd"/>
      <w:r w:rsidRPr="004543FB">
        <w:rPr>
          <w:rFonts w:ascii="Times New Roman" w:eastAsia="Verdana" w:hAnsi="Times New Roman" w:cs="Times New Roman"/>
          <w:sz w:val="20"/>
          <w:szCs w:val="20"/>
        </w:rPr>
        <w:t>, D. (2023). Unpacking the roots and impact of workplace well-being: a literature review. International Journal of Mu</w:t>
      </w:r>
      <w:r w:rsidRPr="004543FB">
        <w:rPr>
          <w:rFonts w:ascii="Times New Roman" w:eastAsia="Verdana" w:hAnsi="Times New Roman" w:cs="Times New Roman"/>
          <w:sz w:val="20"/>
          <w:szCs w:val="20"/>
        </w:rPr>
        <w:t xml:space="preserve">ltidisciplinary Approach Research and Science, 2(01), 312-321. </w:t>
      </w:r>
      <w:hyperlink r:id="rId36">
        <w:r w:rsidRPr="004543FB">
          <w:rPr>
            <w:rFonts w:ascii="Times New Roman" w:eastAsia="Verdana" w:hAnsi="Times New Roman" w:cs="Times New Roman"/>
            <w:color w:val="1155CC"/>
            <w:sz w:val="20"/>
            <w:szCs w:val="20"/>
            <w:u w:val="single"/>
          </w:rPr>
          <w:t>https://doi.org/10.59653/ijmars.v2i01.433</w:t>
        </w:r>
      </w:hyperlink>
    </w:p>
    <w:p w14:paraId="00000075"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Rabon</w:t>
      </w:r>
      <w:proofErr w:type="spellEnd"/>
      <w:r w:rsidRPr="004543FB">
        <w:rPr>
          <w:rFonts w:ascii="Times New Roman" w:eastAsia="Verdana" w:hAnsi="Times New Roman" w:cs="Times New Roman"/>
          <w:sz w:val="20"/>
          <w:szCs w:val="20"/>
        </w:rPr>
        <w:t>, M. W. (2024). Integration of Spiritual Formation in Higher Education Courses. Chris</w:t>
      </w:r>
      <w:r w:rsidRPr="004543FB">
        <w:rPr>
          <w:rFonts w:ascii="Times New Roman" w:eastAsia="Verdana" w:hAnsi="Times New Roman" w:cs="Times New Roman"/>
          <w:sz w:val="20"/>
          <w:szCs w:val="20"/>
        </w:rPr>
        <w:t xml:space="preserve">tian Education Journal Research on Educational Ministry, 21(3), 376–392. </w:t>
      </w:r>
      <w:hyperlink r:id="rId37">
        <w:r w:rsidRPr="004543FB">
          <w:rPr>
            <w:rFonts w:ascii="Times New Roman" w:eastAsia="Verdana" w:hAnsi="Times New Roman" w:cs="Times New Roman"/>
            <w:color w:val="1155CC"/>
            <w:sz w:val="20"/>
            <w:szCs w:val="20"/>
            <w:u w:val="single"/>
          </w:rPr>
          <w:t>https://doi.org/10.1177/07398913241302839</w:t>
        </w:r>
      </w:hyperlink>
    </w:p>
    <w:p w14:paraId="00000076"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Republic Act No. 10931, An Act Instituting a Tertiary Education Subsidy and Stud</w:t>
      </w:r>
      <w:r w:rsidRPr="004543FB">
        <w:rPr>
          <w:rFonts w:ascii="Times New Roman" w:eastAsia="Verdana" w:hAnsi="Times New Roman" w:cs="Times New Roman"/>
          <w:sz w:val="20"/>
          <w:szCs w:val="20"/>
        </w:rPr>
        <w:t xml:space="preserve">ent Loan Program, and Expanding the Free Tuition Benefits in State Universities and Colleges, (Phil.) (2017). </w:t>
      </w:r>
      <w:proofErr w:type="spellStart"/>
      <w:r w:rsidRPr="004543FB">
        <w:rPr>
          <w:rFonts w:ascii="Times New Roman" w:eastAsia="Verdana" w:hAnsi="Times New Roman" w:cs="Times New Roman"/>
          <w:sz w:val="20"/>
          <w:szCs w:val="20"/>
        </w:rPr>
        <w:t>TheLawPhil</w:t>
      </w:r>
      <w:proofErr w:type="spellEnd"/>
      <w:r w:rsidRPr="004543FB">
        <w:rPr>
          <w:rFonts w:ascii="Times New Roman" w:eastAsia="Verdana" w:hAnsi="Times New Roman" w:cs="Times New Roman"/>
          <w:sz w:val="20"/>
          <w:szCs w:val="20"/>
        </w:rPr>
        <w:t xml:space="preserve"> Project. https://lawphil.net/statutes/repacts/ra2017/ra_10931_2017.html</w:t>
      </w:r>
    </w:p>
    <w:p w14:paraId="00000077"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Roybal</w:t>
      </w:r>
      <w:proofErr w:type="spellEnd"/>
      <w:r w:rsidRPr="004543FB">
        <w:rPr>
          <w:rFonts w:ascii="Times New Roman" w:eastAsia="Verdana" w:hAnsi="Times New Roman" w:cs="Times New Roman"/>
          <w:sz w:val="20"/>
          <w:szCs w:val="20"/>
        </w:rPr>
        <w:t xml:space="preserve">, A., Waggoner, E., Heaton, C., </w:t>
      </w:r>
      <w:proofErr w:type="spellStart"/>
      <w:r w:rsidRPr="004543FB">
        <w:rPr>
          <w:rFonts w:ascii="Times New Roman" w:eastAsia="Verdana" w:hAnsi="Times New Roman" w:cs="Times New Roman"/>
          <w:sz w:val="20"/>
          <w:szCs w:val="20"/>
        </w:rPr>
        <w:t>Moroney</w:t>
      </w:r>
      <w:proofErr w:type="spellEnd"/>
      <w:r w:rsidRPr="004543FB">
        <w:rPr>
          <w:rFonts w:ascii="Times New Roman" w:eastAsia="Verdana" w:hAnsi="Times New Roman" w:cs="Times New Roman"/>
          <w:sz w:val="20"/>
          <w:szCs w:val="20"/>
        </w:rPr>
        <w:t>, E., Hoff, N., Mi</w:t>
      </w:r>
      <w:r w:rsidRPr="004543FB">
        <w:rPr>
          <w:rFonts w:ascii="Times New Roman" w:eastAsia="Verdana" w:hAnsi="Times New Roman" w:cs="Times New Roman"/>
          <w:sz w:val="20"/>
          <w:szCs w:val="20"/>
        </w:rPr>
        <w:t xml:space="preserve">les, K., … &amp; Fukumoto, K. (2021). Converting a dynamic in-person experience to remote life. Journal of College Orientation Transition and Retention, 28(2). </w:t>
      </w:r>
      <w:hyperlink r:id="rId38">
        <w:r w:rsidRPr="004543FB">
          <w:rPr>
            <w:rFonts w:ascii="Times New Roman" w:eastAsia="Verdana" w:hAnsi="Times New Roman" w:cs="Times New Roman"/>
            <w:color w:val="1155CC"/>
            <w:sz w:val="20"/>
            <w:szCs w:val="20"/>
            <w:u w:val="single"/>
          </w:rPr>
          <w:t>https://doi.org/10.24926/jcotr.v28i2.37</w:t>
        </w:r>
        <w:r w:rsidRPr="004543FB">
          <w:rPr>
            <w:rFonts w:ascii="Times New Roman" w:eastAsia="Verdana" w:hAnsi="Times New Roman" w:cs="Times New Roman"/>
            <w:color w:val="1155CC"/>
            <w:sz w:val="20"/>
            <w:szCs w:val="20"/>
            <w:u w:val="single"/>
          </w:rPr>
          <w:t>65</w:t>
        </w:r>
      </w:hyperlink>
    </w:p>
    <w:p w14:paraId="00000078"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Rubio-Andrés, M., Ramos-González, M. del M., Molina-</w:t>
      </w:r>
      <w:proofErr w:type="spellStart"/>
      <w:r w:rsidRPr="004543FB">
        <w:rPr>
          <w:rFonts w:ascii="Times New Roman" w:eastAsia="Verdana" w:hAnsi="Times New Roman" w:cs="Times New Roman"/>
          <w:sz w:val="20"/>
          <w:szCs w:val="20"/>
        </w:rPr>
        <w:t>López</w:t>
      </w:r>
      <w:proofErr w:type="spellEnd"/>
      <w:r w:rsidRPr="004543FB">
        <w:rPr>
          <w:rFonts w:ascii="Times New Roman" w:eastAsia="Verdana" w:hAnsi="Times New Roman" w:cs="Times New Roman"/>
          <w:sz w:val="20"/>
          <w:szCs w:val="20"/>
        </w:rPr>
        <w:t xml:space="preserve">, M. M., &amp; </w:t>
      </w:r>
      <w:proofErr w:type="spellStart"/>
      <w:r w:rsidRPr="004543FB">
        <w:rPr>
          <w:rFonts w:ascii="Times New Roman" w:eastAsia="Verdana" w:hAnsi="Times New Roman" w:cs="Times New Roman"/>
          <w:sz w:val="20"/>
          <w:szCs w:val="20"/>
        </w:rPr>
        <w:t>Sastre</w:t>
      </w:r>
      <w:proofErr w:type="spellEnd"/>
      <w:r w:rsidRPr="004543FB">
        <w:rPr>
          <w:rFonts w:ascii="Times New Roman" w:eastAsia="Verdana" w:hAnsi="Times New Roman" w:cs="Times New Roman"/>
          <w:sz w:val="20"/>
          <w:szCs w:val="20"/>
        </w:rPr>
        <w:t xml:space="preserve">-Castillo, M. Á. (2023). Training higher education students for employability skills: Is it worth it? Entrepreneurship and Sustainability Issues, 10(4), 390–407. </w:t>
      </w:r>
      <w:hyperlink r:id="rId39">
        <w:r w:rsidRPr="004543FB">
          <w:rPr>
            <w:rFonts w:ascii="Times New Roman" w:eastAsia="Verdana" w:hAnsi="Times New Roman" w:cs="Times New Roman"/>
            <w:color w:val="1155CC"/>
            <w:sz w:val="20"/>
            <w:szCs w:val="20"/>
            <w:u w:val="single"/>
          </w:rPr>
          <w:t>https://doi.org/10.9770/jesi.2023.10.4(24)</w:t>
        </w:r>
      </w:hyperlink>
    </w:p>
    <w:p w14:paraId="00000079"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Sapin</w:t>
      </w:r>
      <w:proofErr w:type="spellEnd"/>
      <w:r w:rsidRPr="004543FB">
        <w:rPr>
          <w:rFonts w:ascii="Times New Roman" w:eastAsia="Verdana" w:hAnsi="Times New Roman" w:cs="Times New Roman"/>
          <w:sz w:val="20"/>
          <w:szCs w:val="20"/>
        </w:rPr>
        <w:t xml:space="preserve">, D. (2023, December 18). Reasons why students work while studying in the </w:t>
      </w:r>
      <w:proofErr w:type="spellStart"/>
      <w:r w:rsidRPr="004543FB">
        <w:rPr>
          <w:rFonts w:ascii="Times New Roman" w:eastAsia="Verdana" w:hAnsi="Times New Roman" w:cs="Times New Roman"/>
          <w:sz w:val="20"/>
          <w:szCs w:val="20"/>
        </w:rPr>
        <w:t>philippines</w:t>
      </w:r>
      <w:proofErr w:type="spellEnd"/>
      <w:r w:rsidRPr="004543FB">
        <w:rPr>
          <w:rFonts w:ascii="Times New Roman" w:eastAsia="Verdana" w:hAnsi="Times New Roman" w:cs="Times New Roman"/>
          <w:sz w:val="20"/>
          <w:szCs w:val="20"/>
        </w:rPr>
        <w:t>. My Dream in a Shoebox. https://shoeboxcampaign.teamasia.com/r</w:t>
      </w:r>
      <w:r w:rsidRPr="004543FB">
        <w:rPr>
          <w:rFonts w:ascii="Times New Roman" w:eastAsia="Verdana" w:hAnsi="Times New Roman" w:cs="Times New Roman"/>
          <w:sz w:val="20"/>
          <w:szCs w:val="20"/>
        </w:rPr>
        <w:t>easons-why-students-work-while-studying-in-the-philippines/</w:t>
      </w:r>
    </w:p>
    <w:p w14:paraId="0000007A"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Samson, A., Oliveira, E. A., &amp; Gupta, S. (2024). From Campus to Career: Leveraging Technology to Improve Work Readiness and Industry Engagement. ASCILITE Publications, 173-179. </w:t>
      </w:r>
      <w:hyperlink r:id="rId40">
        <w:r w:rsidRPr="004543FB">
          <w:rPr>
            <w:rFonts w:ascii="Times New Roman" w:eastAsia="Verdana" w:hAnsi="Times New Roman" w:cs="Times New Roman"/>
            <w:color w:val="1155CC"/>
            <w:sz w:val="20"/>
            <w:szCs w:val="20"/>
            <w:u w:val="single"/>
          </w:rPr>
          <w:t>http://dx.doi.org/10.14742/apubs.2024.1240</w:t>
        </w:r>
      </w:hyperlink>
    </w:p>
    <w:p w14:paraId="0000007B"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Scheef</w:t>
      </w:r>
      <w:proofErr w:type="spellEnd"/>
      <w:r w:rsidRPr="004543FB">
        <w:rPr>
          <w:rFonts w:ascii="Times New Roman" w:eastAsia="Verdana" w:hAnsi="Times New Roman" w:cs="Times New Roman"/>
          <w:sz w:val="20"/>
          <w:szCs w:val="20"/>
        </w:rPr>
        <w:t>, A. (2019). What and who works: strategies for facilitating work experience opportunities for students enrolled in postsecondary education programs. Journal of Pol</w:t>
      </w:r>
      <w:r w:rsidRPr="004543FB">
        <w:rPr>
          <w:rFonts w:ascii="Times New Roman" w:eastAsia="Verdana" w:hAnsi="Times New Roman" w:cs="Times New Roman"/>
          <w:sz w:val="20"/>
          <w:szCs w:val="20"/>
        </w:rPr>
        <w:t xml:space="preserve">icy and Practice in Intellectual Disabilities, 16(3), 223-231. </w:t>
      </w:r>
      <w:hyperlink r:id="rId41">
        <w:r w:rsidRPr="004543FB">
          <w:rPr>
            <w:rFonts w:ascii="Times New Roman" w:eastAsia="Verdana" w:hAnsi="Times New Roman" w:cs="Times New Roman"/>
            <w:color w:val="1155CC"/>
            <w:sz w:val="20"/>
            <w:szCs w:val="20"/>
            <w:u w:val="single"/>
          </w:rPr>
          <w:t>https://doi.org/10.1111/jppi.12285</w:t>
        </w:r>
      </w:hyperlink>
    </w:p>
    <w:p w14:paraId="0000007C"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Shin, H.-K. (2023). A Research on Spiritual Formation in Christian Education. Theology and Praxis, 85, 2</w:t>
      </w:r>
      <w:r w:rsidRPr="004543FB">
        <w:rPr>
          <w:rFonts w:ascii="Times New Roman" w:eastAsia="Verdana" w:hAnsi="Times New Roman" w:cs="Times New Roman"/>
          <w:sz w:val="20"/>
          <w:szCs w:val="20"/>
        </w:rPr>
        <w:t xml:space="preserve">47–276. </w:t>
      </w:r>
      <w:hyperlink r:id="rId42">
        <w:r w:rsidRPr="004543FB">
          <w:rPr>
            <w:rFonts w:ascii="Times New Roman" w:eastAsia="Verdana" w:hAnsi="Times New Roman" w:cs="Times New Roman"/>
            <w:color w:val="1155CC"/>
            <w:sz w:val="20"/>
            <w:szCs w:val="20"/>
            <w:u w:val="single"/>
          </w:rPr>
          <w:t>https://doi.org/10.14387/jkspth.2023.85.247</w:t>
        </w:r>
      </w:hyperlink>
    </w:p>
    <w:p w14:paraId="0000007D"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Ślebarska</w:t>
      </w:r>
      <w:proofErr w:type="spellEnd"/>
      <w:r w:rsidRPr="004543FB">
        <w:rPr>
          <w:rFonts w:ascii="Times New Roman" w:eastAsia="Verdana" w:hAnsi="Times New Roman" w:cs="Times New Roman"/>
          <w:sz w:val="20"/>
          <w:szCs w:val="20"/>
        </w:rPr>
        <w:t xml:space="preserve">, K. and </w:t>
      </w:r>
      <w:proofErr w:type="spellStart"/>
      <w:r w:rsidRPr="004543FB">
        <w:rPr>
          <w:rFonts w:ascii="Times New Roman" w:eastAsia="Verdana" w:hAnsi="Times New Roman" w:cs="Times New Roman"/>
          <w:sz w:val="20"/>
          <w:szCs w:val="20"/>
        </w:rPr>
        <w:t>Flakus</w:t>
      </w:r>
      <w:proofErr w:type="spellEnd"/>
      <w:r w:rsidRPr="004543FB">
        <w:rPr>
          <w:rFonts w:ascii="Times New Roman" w:eastAsia="Verdana" w:hAnsi="Times New Roman" w:cs="Times New Roman"/>
          <w:sz w:val="20"/>
          <w:szCs w:val="20"/>
        </w:rPr>
        <w:t>, M. (2020). Career self-management of unemployed workers: the role of proactive coping in job-to-job transition. Bal</w:t>
      </w:r>
      <w:r w:rsidRPr="004543FB">
        <w:rPr>
          <w:rFonts w:ascii="Times New Roman" w:eastAsia="Verdana" w:hAnsi="Times New Roman" w:cs="Times New Roman"/>
          <w:sz w:val="20"/>
          <w:szCs w:val="20"/>
        </w:rPr>
        <w:t xml:space="preserve">tic Journal of Management, 16(1), 135-153. </w:t>
      </w:r>
      <w:hyperlink r:id="rId43">
        <w:r w:rsidRPr="004543FB">
          <w:rPr>
            <w:rFonts w:ascii="Times New Roman" w:eastAsia="Verdana" w:hAnsi="Times New Roman" w:cs="Times New Roman"/>
            <w:color w:val="1155CC"/>
            <w:sz w:val="20"/>
            <w:szCs w:val="20"/>
            <w:u w:val="single"/>
          </w:rPr>
          <w:t>https://doi.org/10.1108/BJM-06-2020-0189</w:t>
        </w:r>
      </w:hyperlink>
      <w:r w:rsidRPr="004543FB">
        <w:rPr>
          <w:rFonts w:ascii="Times New Roman" w:eastAsia="Verdana" w:hAnsi="Times New Roman" w:cs="Times New Roman"/>
          <w:sz w:val="20"/>
          <w:szCs w:val="20"/>
        </w:rPr>
        <w:t xml:space="preserve"> </w:t>
      </w:r>
    </w:p>
    <w:p w14:paraId="0000007E"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Stalmeijer</w:t>
      </w:r>
      <w:proofErr w:type="spellEnd"/>
      <w:r w:rsidRPr="004543FB">
        <w:rPr>
          <w:rFonts w:ascii="Times New Roman" w:eastAsia="Verdana" w:hAnsi="Times New Roman" w:cs="Times New Roman"/>
          <w:sz w:val="20"/>
          <w:szCs w:val="20"/>
        </w:rPr>
        <w:t>, R., Brown, M., &amp; O’Brien, B. (2024). How to discuss transferability of qualitative research in heal</w:t>
      </w:r>
      <w:r w:rsidRPr="004543FB">
        <w:rPr>
          <w:rFonts w:ascii="Times New Roman" w:eastAsia="Verdana" w:hAnsi="Times New Roman" w:cs="Times New Roman"/>
          <w:sz w:val="20"/>
          <w:szCs w:val="20"/>
        </w:rPr>
        <w:t xml:space="preserve">th professions education. The Clinical Teacher, 21(6). </w:t>
      </w:r>
      <w:hyperlink r:id="rId44">
        <w:r w:rsidRPr="004543FB">
          <w:rPr>
            <w:rFonts w:ascii="Times New Roman" w:eastAsia="Verdana" w:hAnsi="Times New Roman" w:cs="Times New Roman"/>
            <w:color w:val="1155CC"/>
            <w:sz w:val="20"/>
            <w:szCs w:val="20"/>
            <w:u w:val="single"/>
          </w:rPr>
          <w:t>https://doi.org/10.1111/tct.13762</w:t>
        </w:r>
      </w:hyperlink>
    </w:p>
    <w:p w14:paraId="0000007F"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Summer, R., McCoy, M., Trujillo, I., &amp; Rodriguez, E. (2023). Support for working students: Understanding the impac</w:t>
      </w:r>
      <w:r w:rsidRPr="004543FB">
        <w:rPr>
          <w:rFonts w:ascii="Times New Roman" w:eastAsia="Verdana" w:hAnsi="Times New Roman" w:cs="Times New Roman"/>
          <w:sz w:val="20"/>
          <w:szCs w:val="20"/>
        </w:rPr>
        <w:t>ts of employment on students’ lives. Journal of College Student Retention: Research, Theory &amp;amp; Practice, 26(4), 1123–1146. https://doi.org/10.1177/15210251221149209</w:t>
      </w:r>
    </w:p>
    <w:p w14:paraId="00000080"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Tumin</w:t>
      </w:r>
      <w:proofErr w:type="spellEnd"/>
      <w:r w:rsidRPr="004543FB">
        <w:rPr>
          <w:rFonts w:ascii="Times New Roman" w:eastAsia="Verdana" w:hAnsi="Times New Roman" w:cs="Times New Roman"/>
          <w:sz w:val="20"/>
          <w:szCs w:val="20"/>
        </w:rPr>
        <w:t xml:space="preserve">, T., </w:t>
      </w:r>
      <w:proofErr w:type="spellStart"/>
      <w:r w:rsidRPr="004543FB">
        <w:rPr>
          <w:rFonts w:ascii="Times New Roman" w:eastAsia="Verdana" w:hAnsi="Times New Roman" w:cs="Times New Roman"/>
          <w:sz w:val="20"/>
          <w:szCs w:val="20"/>
        </w:rPr>
        <w:t>Faizuddin</w:t>
      </w:r>
      <w:proofErr w:type="spellEnd"/>
      <w:r w:rsidRPr="004543FB">
        <w:rPr>
          <w:rFonts w:ascii="Times New Roman" w:eastAsia="Verdana" w:hAnsi="Times New Roman" w:cs="Times New Roman"/>
          <w:sz w:val="20"/>
          <w:szCs w:val="20"/>
        </w:rPr>
        <w:t xml:space="preserve">, A., </w:t>
      </w:r>
      <w:proofErr w:type="spellStart"/>
      <w:r w:rsidRPr="004543FB">
        <w:rPr>
          <w:rFonts w:ascii="Times New Roman" w:eastAsia="Verdana" w:hAnsi="Times New Roman" w:cs="Times New Roman"/>
          <w:sz w:val="20"/>
          <w:szCs w:val="20"/>
        </w:rPr>
        <w:t>Mansir</w:t>
      </w:r>
      <w:proofErr w:type="spellEnd"/>
      <w:r w:rsidRPr="004543FB">
        <w:rPr>
          <w:rFonts w:ascii="Times New Roman" w:eastAsia="Verdana" w:hAnsi="Times New Roman" w:cs="Times New Roman"/>
          <w:sz w:val="20"/>
          <w:szCs w:val="20"/>
        </w:rPr>
        <w:t xml:space="preserve">, F., </w:t>
      </w:r>
      <w:proofErr w:type="spellStart"/>
      <w:r w:rsidRPr="004543FB">
        <w:rPr>
          <w:rFonts w:ascii="Times New Roman" w:eastAsia="Verdana" w:hAnsi="Times New Roman" w:cs="Times New Roman"/>
          <w:sz w:val="20"/>
          <w:szCs w:val="20"/>
        </w:rPr>
        <w:t>Purnomo</w:t>
      </w:r>
      <w:proofErr w:type="spellEnd"/>
      <w:r w:rsidRPr="004543FB">
        <w:rPr>
          <w:rFonts w:ascii="Times New Roman" w:eastAsia="Verdana" w:hAnsi="Times New Roman" w:cs="Times New Roman"/>
          <w:sz w:val="20"/>
          <w:szCs w:val="20"/>
        </w:rPr>
        <w:t xml:space="preserve">, H., &amp; </w:t>
      </w:r>
      <w:proofErr w:type="spellStart"/>
      <w:r w:rsidRPr="004543FB">
        <w:rPr>
          <w:rFonts w:ascii="Times New Roman" w:eastAsia="Verdana" w:hAnsi="Times New Roman" w:cs="Times New Roman"/>
          <w:sz w:val="20"/>
          <w:szCs w:val="20"/>
        </w:rPr>
        <w:t>Aisyah</w:t>
      </w:r>
      <w:proofErr w:type="spellEnd"/>
      <w:r w:rsidRPr="004543FB">
        <w:rPr>
          <w:rFonts w:ascii="Times New Roman" w:eastAsia="Verdana" w:hAnsi="Times New Roman" w:cs="Times New Roman"/>
          <w:sz w:val="20"/>
          <w:szCs w:val="20"/>
        </w:rPr>
        <w:t>, N. (2020). Working Students</w:t>
      </w:r>
      <w:r w:rsidRPr="004543FB">
        <w:rPr>
          <w:rFonts w:ascii="Times New Roman" w:eastAsia="Verdana" w:hAnsi="Times New Roman" w:cs="Times New Roman"/>
          <w:sz w:val="20"/>
          <w:szCs w:val="20"/>
        </w:rPr>
        <w:t xml:space="preserve"> in Higher Education: Challenges and Solutions. 4(1), 79–89. </w:t>
      </w:r>
      <w:hyperlink r:id="rId45">
        <w:r w:rsidRPr="004543FB">
          <w:rPr>
            <w:rFonts w:ascii="Times New Roman" w:eastAsia="Verdana" w:hAnsi="Times New Roman" w:cs="Times New Roman"/>
            <w:color w:val="1155CC"/>
            <w:sz w:val="20"/>
            <w:szCs w:val="20"/>
            <w:u w:val="single"/>
          </w:rPr>
          <w:t>https://doi.org/10.35723/AJIE.V4I1.108</w:t>
        </w:r>
      </w:hyperlink>
    </w:p>
    <w:p w14:paraId="00000081"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Universal Access to Tertiary Education </w:t>
      </w:r>
      <w:proofErr w:type="gramStart"/>
      <w:r w:rsidRPr="004543FB">
        <w:rPr>
          <w:rFonts w:ascii="Times New Roman" w:eastAsia="Verdana" w:hAnsi="Times New Roman" w:cs="Times New Roman"/>
          <w:sz w:val="20"/>
          <w:szCs w:val="20"/>
        </w:rPr>
        <w:t>Act  (</w:t>
      </w:r>
      <w:proofErr w:type="gramEnd"/>
      <w:r w:rsidRPr="004543FB">
        <w:rPr>
          <w:rFonts w:ascii="Times New Roman" w:eastAsia="Verdana" w:hAnsi="Times New Roman" w:cs="Times New Roman"/>
          <w:sz w:val="20"/>
          <w:szCs w:val="20"/>
        </w:rPr>
        <w:t>2016).</w:t>
      </w:r>
    </w:p>
    <w:p w14:paraId="00000082"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Usman, M., </w:t>
      </w:r>
      <w:proofErr w:type="spellStart"/>
      <w:r w:rsidRPr="004543FB">
        <w:rPr>
          <w:rFonts w:ascii="Times New Roman" w:eastAsia="Verdana" w:hAnsi="Times New Roman" w:cs="Times New Roman"/>
          <w:sz w:val="20"/>
          <w:szCs w:val="20"/>
        </w:rPr>
        <w:t>Idawati</w:t>
      </w:r>
      <w:proofErr w:type="spellEnd"/>
      <w:r w:rsidRPr="004543FB">
        <w:rPr>
          <w:rFonts w:ascii="Times New Roman" w:eastAsia="Verdana" w:hAnsi="Times New Roman" w:cs="Times New Roman"/>
          <w:sz w:val="20"/>
          <w:szCs w:val="20"/>
        </w:rPr>
        <w:t xml:space="preserve">, I., &amp; Muhammad, A. F. (2023). Enhancing speaking proficiency through </w:t>
      </w:r>
      <w:proofErr w:type="spellStart"/>
      <w:r w:rsidRPr="004543FB">
        <w:rPr>
          <w:rFonts w:ascii="Times New Roman" w:eastAsia="Verdana" w:hAnsi="Times New Roman" w:cs="Times New Roman"/>
          <w:sz w:val="20"/>
          <w:szCs w:val="20"/>
        </w:rPr>
        <w:t>Kampus</w:t>
      </w:r>
      <w:proofErr w:type="spellEnd"/>
      <w:r w:rsidRPr="004543FB">
        <w:rPr>
          <w:rFonts w:ascii="Times New Roman" w:eastAsia="Verdana" w:hAnsi="Times New Roman" w:cs="Times New Roman"/>
          <w:sz w:val="20"/>
          <w:szCs w:val="20"/>
        </w:rPr>
        <w:t xml:space="preserve"> </w:t>
      </w:r>
      <w:proofErr w:type="spellStart"/>
      <w:r w:rsidRPr="004543FB">
        <w:rPr>
          <w:rFonts w:ascii="Times New Roman" w:eastAsia="Verdana" w:hAnsi="Times New Roman" w:cs="Times New Roman"/>
          <w:sz w:val="20"/>
          <w:szCs w:val="20"/>
        </w:rPr>
        <w:t>Mengajar</w:t>
      </w:r>
      <w:proofErr w:type="spellEnd"/>
      <w:r w:rsidRPr="004543FB">
        <w:rPr>
          <w:rFonts w:ascii="Times New Roman" w:eastAsia="Verdana" w:hAnsi="Times New Roman" w:cs="Times New Roman"/>
          <w:sz w:val="20"/>
          <w:szCs w:val="20"/>
        </w:rPr>
        <w:t xml:space="preserve">: Empirical insights from </w:t>
      </w:r>
      <w:proofErr w:type="spellStart"/>
      <w:r w:rsidRPr="004543FB">
        <w:rPr>
          <w:rFonts w:ascii="Times New Roman" w:eastAsia="Verdana" w:hAnsi="Times New Roman" w:cs="Times New Roman"/>
          <w:sz w:val="20"/>
          <w:szCs w:val="20"/>
        </w:rPr>
        <w:t>Bosowa</w:t>
      </w:r>
      <w:proofErr w:type="spellEnd"/>
      <w:r w:rsidRPr="004543FB">
        <w:rPr>
          <w:rFonts w:ascii="Times New Roman" w:eastAsia="Verdana" w:hAnsi="Times New Roman" w:cs="Times New Roman"/>
          <w:sz w:val="20"/>
          <w:szCs w:val="20"/>
        </w:rPr>
        <w:t xml:space="preserve"> University’s English Education Department. ELT Worldwide: Journal of English Language Teaching, 10(2), 471. https://doi</w:t>
      </w:r>
      <w:r w:rsidRPr="004543FB">
        <w:rPr>
          <w:rFonts w:ascii="Times New Roman" w:eastAsia="Verdana" w:hAnsi="Times New Roman" w:cs="Times New Roman"/>
          <w:sz w:val="20"/>
          <w:szCs w:val="20"/>
        </w:rPr>
        <w:t>.org/10.26858/eltww.v10i2.57867</w:t>
      </w:r>
    </w:p>
    <w:p w14:paraId="00000083" w14:textId="77777777" w:rsidR="009D0C2D" w:rsidRPr="004543FB" w:rsidRDefault="00B74F1D" w:rsidP="004543FB">
      <w:pPr>
        <w:spacing w:line="240" w:lineRule="auto"/>
        <w:jc w:val="both"/>
        <w:rPr>
          <w:rFonts w:ascii="Times New Roman" w:eastAsia="Verdana" w:hAnsi="Times New Roman" w:cs="Times New Roman"/>
          <w:sz w:val="20"/>
          <w:szCs w:val="20"/>
        </w:rPr>
      </w:pPr>
      <w:proofErr w:type="spellStart"/>
      <w:r w:rsidRPr="004543FB">
        <w:rPr>
          <w:rFonts w:ascii="Times New Roman" w:eastAsia="Verdana" w:hAnsi="Times New Roman" w:cs="Times New Roman"/>
          <w:sz w:val="20"/>
          <w:szCs w:val="20"/>
        </w:rPr>
        <w:t>Vos</w:t>
      </w:r>
      <w:proofErr w:type="spellEnd"/>
      <w:r w:rsidRPr="004543FB">
        <w:rPr>
          <w:rFonts w:ascii="Times New Roman" w:eastAsia="Verdana" w:hAnsi="Times New Roman" w:cs="Times New Roman"/>
          <w:sz w:val="20"/>
          <w:szCs w:val="20"/>
        </w:rPr>
        <w:t xml:space="preserve">, J. (2020). Systematic pragmatic phenomenological analysis: step‐wise guidance for mixed methods research. Counselling and Psychotherapy Research, 21(1), 77-97. </w:t>
      </w:r>
      <w:hyperlink r:id="rId46">
        <w:r w:rsidRPr="004543FB">
          <w:rPr>
            <w:rFonts w:ascii="Times New Roman" w:eastAsia="Verdana" w:hAnsi="Times New Roman" w:cs="Times New Roman"/>
            <w:color w:val="1155CC"/>
            <w:sz w:val="20"/>
            <w:szCs w:val="20"/>
            <w:u w:val="single"/>
          </w:rPr>
          <w:t>https</w:t>
        </w:r>
        <w:r w:rsidRPr="004543FB">
          <w:rPr>
            <w:rFonts w:ascii="Times New Roman" w:eastAsia="Verdana" w:hAnsi="Times New Roman" w:cs="Times New Roman"/>
            <w:color w:val="1155CC"/>
            <w:sz w:val="20"/>
            <w:szCs w:val="20"/>
            <w:u w:val="single"/>
          </w:rPr>
          <w:t>://doi.org/10.1002/capr.12366</w:t>
        </w:r>
      </w:hyperlink>
    </w:p>
    <w:p w14:paraId="00000084"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 xml:space="preserve">Wang, D. C., Reed, A. H., </w:t>
      </w:r>
      <w:proofErr w:type="spellStart"/>
      <w:r w:rsidRPr="004543FB">
        <w:rPr>
          <w:rFonts w:ascii="Times New Roman" w:eastAsia="Verdana" w:hAnsi="Times New Roman" w:cs="Times New Roman"/>
          <w:sz w:val="20"/>
          <w:szCs w:val="20"/>
        </w:rPr>
        <w:t>Greggo</w:t>
      </w:r>
      <w:proofErr w:type="spellEnd"/>
      <w:r w:rsidRPr="004543FB">
        <w:rPr>
          <w:rFonts w:ascii="Times New Roman" w:eastAsia="Verdana" w:hAnsi="Times New Roman" w:cs="Times New Roman"/>
          <w:sz w:val="20"/>
          <w:szCs w:val="20"/>
        </w:rPr>
        <w:t xml:space="preserve">, S. P., Bowersox, L. W., </w:t>
      </w:r>
      <w:proofErr w:type="spellStart"/>
      <w:r w:rsidRPr="004543FB">
        <w:rPr>
          <w:rFonts w:ascii="Times New Roman" w:eastAsia="Verdana" w:hAnsi="Times New Roman" w:cs="Times New Roman"/>
          <w:sz w:val="20"/>
          <w:szCs w:val="20"/>
        </w:rPr>
        <w:t>Drennan</w:t>
      </w:r>
      <w:proofErr w:type="spellEnd"/>
      <w:r w:rsidRPr="004543FB">
        <w:rPr>
          <w:rFonts w:ascii="Times New Roman" w:eastAsia="Verdana" w:hAnsi="Times New Roman" w:cs="Times New Roman"/>
          <w:sz w:val="20"/>
          <w:szCs w:val="20"/>
        </w:rPr>
        <w:t>, A., Strawn, B. D., King, P. E., Porter, S. L., &amp; Hill, P. C. (2023). Spiritual Formation in Theological Education: A Multi-</w:t>
      </w:r>
      <w:proofErr w:type="gramStart"/>
      <w:r w:rsidRPr="004543FB">
        <w:rPr>
          <w:rFonts w:ascii="Times New Roman" w:eastAsia="Verdana" w:hAnsi="Times New Roman" w:cs="Times New Roman"/>
          <w:sz w:val="20"/>
          <w:szCs w:val="20"/>
        </w:rPr>
        <w:t>case</w:t>
      </w:r>
      <w:proofErr w:type="gramEnd"/>
      <w:r w:rsidRPr="004543FB">
        <w:rPr>
          <w:rFonts w:ascii="Times New Roman" w:eastAsia="Verdana" w:hAnsi="Times New Roman" w:cs="Times New Roman"/>
          <w:sz w:val="20"/>
          <w:szCs w:val="20"/>
        </w:rPr>
        <w:t xml:space="preserve"> Exploration on Seminaries and S</w:t>
      </w:r>
      <w:r w:rsidRPr="004543FB">
        <w:rPr>
          <w:rFonts w:ascii="Times New Roman" w:eastAsia="Verdana" w:hAnsi="Times New Roman" w:cs="Times New Roman"/>
          <w:sz w:val="20"/>
          <w:szCs w:val="20"/>
        </w:rPr>
        <w:t xml:space="preserve">tudent Development. Christian Education Journal Research on Educational Ministry, 073989132311777. </w:t>
      </w:r>
      <w:hyperlink r:id="rId47">
        <w:r w:rsidRPr="004543FB">
          <w:rPr>
            <w:rFonts w:ascii="Times New Roman" w:eastAsia="Verdana" w:hAnsi="Times New Roman" w:cs="Times New Roman"/>
            <w:color w:val="1155CC"/>
            <w:sz w:val="20"/>
            <w:szCs w:val="20"/>
            <w:u w:val="single"/>
          </w:rPr>
          <w:t>https://doi.org/10.1177/07398913231177722</w:t>
        </w:r>
      </w:hyperlink>
    </w:p>
    <w:p w14:paraId="00000085"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lastRenderedPageBreak/>
        <w:t>Woo, M., Jang, I., &amp; Chang, Y. (2022). The relationshi</w:t>
      </w:r>
      <w:r w:rsidRPr="004543FB">
        <w:rPr>
          <w:rFonts w:ascii="Times New Roman" w:eastAsia="Verdana" w:hAnsi="Times New Roman" w:cs="Times New Roman"/>
          <w:sz w:val="20"/>
          <w:szCs w:val="20"/>
        </w:rPr>
        <w:t xml:space="preserve">p between sense of community and job satisfaction among campus recreation center employees. Recreational Sports Journal, 46(1), 95-104. </w:t>
      </w:r>
      <w:hyperlink r:id="rId48">
        <w:r w:rsidRPr="004543FB">
          <w:rPr>
            <w:rFonts w:ascii="Times New Roman" w:eastAsia="Verdana" w:hAnsi="Times New Roman" w:cs="Times New Roman"/>
            <w:color w:val="1155CC"/>
            <w:sz w:val="20"/>
            <w:szCs w:val="20"/>
            <w:u w:val="single"/>
          </w:rPr>
          <w:t>https://doi.org/10.1177/15588661221077690</w:t>
        </w:r>
      </w:hyperlink>
    </w:p>
    <w:p w14:paraId="00000086" w14:textId="77777777" w:rsidR="009D0C2D" w:rsidRPr="004543FB" w:rsidRDefault="00B74F1D" w:rsidP="004543FB">
      <w:pPr>
        <w:spacing w:line="240" w:lineRule="auto"/>
        <w:jc w:val="both"/>
        <w:rPr>
          <w:rFonts w:ascii="Times New Roman" w:eastAsia="Verdana" w:hAnsi="Times New Roman" w:cs="Times New Roman"/>
          <w:sz w:val="20"/>
          <w:szCs w:val="20"/>
        </w:rPr>
      </w:pPr>
      <w:r w:rsidRPr="004543FB">
        <w:rPr>
          <w:rFonts w:ascii="Times New Roman" w:eastAsia="Verdana" w:hAnsi="Times New Roman" w:cs="Times New Roman"/>
          <w:sz w:val="20"/>
          <w:szCs w:val="20"/>
        </w:rPr>
        <w:t>Yang, S., Yang, J</w:t>
      </w:r>
      <w:r w:rsidRPr="004543FB">
        <w:rPr>
          <w:rFonts w:ascii="Times New Roman" w:eastAsia="Verdana" w:hAnsi="Times New Roman" w:cs="Times New Roman"/>
          <w:sz w:val="20"/>
          <w:szCs w:val="20"/>
        </w:rPr>
        <w:t>., Yue, L., Xu, J., Liu, X., Li, W., Cheng, H., &amp; He, G. (2022). Impact of perception reduction of employment opportunities on employment pressure of college students under COVID-19 epidemic–joint moderating effects of employment policy support and job-sea</w:t>
      </w:r>
      <w:r w:rsidRPr="004543FB">
        <w:rPr>
          <w:rFonts w:ascii="Times New Roman" w:eastAsia="Verdana" w:hAnsi="Times New Roman" w:cs="Times New Roman"/>
          <w:sz w:val="20"/>
          <w:szCs w:val="20"/>
        </w:rPr>
        <w:t>rching self-efficacy. Frontiers in Psychology, 13. https://doi.org/10.3389/fpsyg.2022.986070</w:t>
      </w:r>
    </w:p>
    <w:sectPr w:rsidR="009D0C2D" w:rsidRPr="004543FB" w:rsidSect="004543FB">
      <w:headerReference w:type="default" r:id="rId49"/>
      <w:pgSz w:w="12240" w:h="15840"/>
      <w:pgMar w:top="1440" w:right="1440" w:bottom="1440" w:left="1440" w:header="720" w:footer="720" w:gutter="0"/>
      <w:pgNumType w:start="308"/>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93FA5" w14:textId="77777777" w:rsidR="00B74F1D" w:rsidRDefault="00B74F1D">
      <w:pPr>
        <w:spacing w:line="240" w:lineRule="auto"/>
      </w:pPr>
      <w:r>
        <w:separator/>
      </w:r>
    </w:p>
  </w:endnote>
  <w:endnote w:type="continuationSeparator" w:id="0">
    <w:p w14:paraId="66056D2F" w14:textId="77777777" w:rsidR="00B74F1D" w:rsidRDefault="00B74F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41F7F76-2D4E-4EC7-8482-E0A0E03505F0}"/>
    <w:embedBold r:id="rId2" w:fontKey="{8F52373F-8E72-4FFE-927E-F25BA4986112}"/>
    <w:embedItalic r:id="rId3" w:fontKey="{883B2736-9B0C-4858-A21E-7DA0E13CFBDE}"/>
    <w:embedBoldItalic r:id="rId4" w:fontKey="{1ADC9A70-3DDE-422A-A315-B6E2F589B4B3}"/>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316B1A25-FC4D-40E8-A69D-F73F6F9D089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A7D5684B-CD27-4AC2-8595-29B2E201E8FA}"/>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CCEA7" w14:textId="77777777" w:rsidR="00B74F1D" w:rsidRDefault="00B74F1D">
      <w:pPr>
        <w:spacing w:line="240" w:lineRule="auto"/>
      </w:pPr>
      <w:r>
        <w:separator/>
      </w:r>
    </w:p>
  </w:footnote>
  <w:footnote w:type="continuationSeparator" w:id="0">
    <w:p w14:paraId="75D05422" w14:textId="77777777" w:rsidR="00B74F1D" w:rsidRDefault="00B74F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7F7F7F" w:themeColor="background1" w:themeShade="7F"/>
        <w:spacing w:val="60"/>
      </w:rPr>
      <w:id w:val="391625206"/>
      <w:docPartObj>
        <w:docPartGallery w:val="Page Numbers (Top of Page)"/>
        <w:docPartUnique/>
      </w:docPartObj>
    </w:sdtPr>
    <w:sdtEndPr>
      <w:rPr>
        <w:bCs/>
        <w:noProof/>
        <w:color w:val="auto"/>
        <w:spacing w:val="0"/>
      </w:rPr>
    </w:sdtEndPr>
    <w:sdtContent>
      <w:p w14:paraId="52C80CE8" w14:textId="77777777" w:rsidR="004543FB" w:rsidRPr="00A140CA" w:rsidRDefault="004543FB" w:rsidP="004543FB">
        <w:pPr>
          <w:pStyle w:val="Header"/>
          <w:pBdr>
            <w:bottom w:val="single" w:sz="4" w:space="1" w:color="D9D9D9" w:themeColor="background1" w:themeShade="D9"/>
          </w:pBdr>
          <w:rPr>
            <w:rFonts w:ascii="Times New Roman" w:hAnsi="Times New Roman" w:cs="Times New Roman"/>
            <w:b/>
            <w:color w:val="7F7F7F" w:themeColor="background1" w:themeShade="7F"/>
            <w:spacing w:val="60"/>
            <w:sz w:val="14"/>
          </w:rPr>
        </w:pPr>
        <w:r w:rsidRPr="00A140CA">
          <w:rPr>
            <w:rFonts w:ascii="Times New Roman" w:hAnsi="Times New Roman" w:cs="Times New Roman"/>
            <w:b/>
            <w:color w:val="7F7F7F" w:themeColor="background1" w:themeShade="7F"/>
            <w:spacing w:val="60"/>
            <w:sz w:val="14"/>
          </w:rPr>
          <w:t xml:space="preserve">International Multidisciplinary Journal of </w:t>
        </w:r>
      </w:p>
      <w:p w14:paraId="5FA402BC" w14:textId="77777777" w:rsidR="004543FB" w:rsidRPr="00A140CA" w:rsidRDefault="004543FB" w:rsidP="004543FB">
        <w:pPr>
          <w:pStyle w:val="Header"/>
          <w:pBdr>
            <w:bottom w:val="single" w:sz="4" w:space="1" w:color="D9D9D9" w:themeColor="background1" w:themeShade="D9"/>
          </w:pBdr>
          <w:rPr>
            <w:rFonts w:ascii="Times New Roman" w:hAnsi="Times New Roman" w:cs="Times New Roman"/>
            <w:b/>
            <w:color w:val="7F7F7F" w:themeColor="background1" w:themeShade="7F"/>
            <w:spacing w:val="60"/>
            <w:sz w:val="14"/>
          </w:rPr>
        </w:pPr>
        <w:r w:rsidRPr="00A140CA">
          <w:rPr>
            <w:rFonts w:ascii="Times New Roman" w:hAnsi="Times New Roman" w:cs="Times New Roman"/>
            <w:b/>
            <w:color w:val="7F7F7F" w:themeColor="background1" w:themeShade="7F"/>
            <w:spacing w:val="60"/>
            <w:sz w:val="14"/>
          </w:rPr>
          <w:t>Research for Innovation, Sustainability, and Excellence (IMJRISE)</w:t>
        </w:r>
      </w:p>
      <w:p w14:paraId="3209DA10" w14:textId="77777777" w:rsidR="004543FB" w:rsidRPr="00A140CA" w:rsidRDefault="004543FB" w:rsidP="004543FB">
        <w:pPr>
          <w:pStyle w:val="Header"/>
          <w:pBdr>
            <w:bottom w:val="single" w:sz="4" w:space="1" w:color="D9D9D9" w:themeColor="background1" w:themeShade="D9"/>
          </w:pBdr>
          <w:rPr>
            <w:rFonts w:ascii="Times New Roman" w:hAnsi="Times New Roman" w:cs="Times New Roman"/>
            <w:color w:val="7F7F7F" w:themeColor="background1" w:themeShade="7F"/>
            <w:spacing w:val="60"/>
            <w:sz w:val="12"/>
          </w:rPr>
        </w:pPr>
        <w:r w:rsidRPr="00A140CA">
          <w:rPr>
            <w:rFonts w:ascii="Times New Roman" w:hAnsi="Times New Roman" w:cs="Times New Roman"/>
            <w:color w:val="7F7F7F" w:themeColor="background1" w:themeShade="7F"/>
            <w:spacing w:val="60"/>
            <w:sz w:val="12"/>
          </w:rPr>
          <w:t>Online ISSN: 3028-032X | Print ISSN: 3028-0370</w:t>
        </w:r>
      </w:p>
      <w:p w14:paraId="3EFF63A4" w14:textId="77777777" w:rsidR="004543FB" w:rsidRPr="00A140CA" w:rsidRDefault="004543FB" w:rsidP="004543FB">
        <w:pPr>
          <w:pStyle w:val="Header"/>
          <w:pBdr>
            <w:bottom w:val="single" w:sz="4" w:space="1" w:color="D9D9D9" w:themeColor="background1" w:themeShade="D9"/>
          </w:pBdr>
          <w:rPr>
            <w:rFonts w:ascii="Times New Roman" w:hAnsi="Times New Roman" w:cs="Times New Roman"/>
            <w:color w:val="7F7F7F" w:themeColor="background1" w:themeShade="7F"/>
            <w:spacing w:val="60"/>
            <w:sz w:val="12"/>
          </w:rPr>
        </w:pPr>
        <w:r w:rsidRPr="00A140CA">
          <w:rPr>
            <w:rFonts w:ascii="Times New Roman" w:hAnsi="Times New Roman" w:cs="Times New Roman"/>
            <w:color w:val="7F7F7F" w:themeColor="background1" w:themeShade="7F"/>
            <w:spacing w:val="60"/>
            <w:sz w:val="12"/>
          </w:rPr>
          <w:t>Published by RISEJOURNALS.ORG</w:t>
        </w:r>
      </w:p>
      <w:p w14:paraId="669E5D86" w14:textId="1C370467" w:rsidR="004543FB" w:rsidRPr="00A140CA" w:rsidRDefault="004543FB" w:rsidP="004543FB">
        <w:pPr>
          <w:pStyle w:val="Header"/>
          <w:pBdr>
            <w:bottom w:val="single" w:sz="4" w:space="1" w:color="D9D9D9" w:themeColor="background1" w:themeShade="D9"/>
          </w:pBdr>
          <w:jc w:val="right"/>
          <w:rPr>
            <w:rFonts w:ascii="Times New Roman" w:hAnsi="Times New Roman" w:cs="Times New Roman"/>
            <w:bCs/>
            <w:noProof/>
            <w:sz w:val="14"/>
          </w:rPr>
        </w:pPr>
        <w:r w:rsidRPr="00A140CA">
          <w:rPr>
            <w:rFonts w:ascii="Times New Roman" w:hAnsi="Times New Roman" w:cs="Times New Roman"/>
            <w:color w:val="7F7F7F" w:themeColor="background1" w:themeShade="7F"/>
            <w:spacing w:val="60"/>
            <w:sz w:val="14"/>
          </w:rPr>
          <w:t xml:space="preserve">Volume no. 3, Issue no. 1, Page </w:t>
        </w:r>
        <w:r w:rsidRPr="00A140CA">
          <w:rPr>
            <w:rFonts w:ascii="Times New Roman" w:hAnsi="Times New Roman" w:cs="Times New Roman"/>
            <w:sz w:val="14"/>
          </w:rPr>
          <w:t xml:space="preserve"> </w:t>
        </w:r>
        <w:r w:rsidRPr="00A140CA">
          <w:rPr>
            <w:rFonts w:ascii="Times New Roman" w:hAnsi="Times New Roman" w:cs="Times New Roman"/>
            <w:sz w:val="14"/>
          </w:rPr>
          <w:fldChar w:fldCharType="begin"/>
        </w:r>
        <w:r w:rsidRPr="00A140CA">
          <w:rPr>
            <w:rFonts w:ascii="Times New Roman" w:hAnsi="Times New Roman" w:cs="Times New Roman"/>
            <w:sz w:val="14"/>
          </w:rPr>
          <w:instrText xml:space="preserve"> PAGE   \* MERGEFORMAT </w:instrText>
        </w:r>
        <w:r w:rsidRPr="00A140CA">
          <w:rPr>
            <w:rFonts w:ascii="Times New Roman" w:hAnsi="Times New Roman" w:cs="Times New Roman"/>
            <w:sz w:val="14"/>
          </w:rPr>
          <w:fldChar w:fldCharType="separate"/>
        </w:r>
        <w:r w:rsidR="000B31C5" w:rsidRPr="000B31C5">
          <w:rPr>
            <w:rFonts w:ascii="Times New Roman" w:hAnsi="Times New Roman" w:cs="Times New Roman"/>
            <w:bCs/>
            <w:noProof/>
            <w:sz w:val="14"/>
          </w:rPr>
          <w:t>321</w:t>
        </w:r>
        <w:r w:rsidRPr="00A140CA">
          <w:rPr>
            <w:rFonts w:ascii="Times New Roman" w:hAnsi="Times New Roman" w:cs="Times New Roman"/>
            <w:bCs/>
            <w:noProof/>
            <w:sz w:val="14"/>
          </w:rPr>
          <w:fldChar w:fldCharType="end"/>
        </w:r>
      </w:p>
      <w:p w14:paraId="6476BA70" w14:textId="77777777" w:rsidR="004543FB" w:rsidRPr="00A140CA" w:rsidRDefault="004543FB" w:rsidP="004543FB">
        <w:pPr>
          <w:pStyle w:val="Header"/>
          <w:pBdr>
            <w:bottom w:val="single" w:sz="4" w:space="1" w:color="D9D9D9" w:themeColor="background1" w:themeShade="D9"/>
          </w:pBdr>
          <w:jc w:val="right"/>
          <w:rPr>
            <w:rFonts w:ascii="Times New Roman" w:hAnsi="Times New Roman" w:cs="Times New Roman"/>
            <w:bCs/>
            <w:noProof/>
            <w:sz w:val="14"/>
          </w:rPr>
        </w:pPr>
      </w:p>
    </w:sdtContent>
  </w:sdt>
  <w:p w14:paraId="39DB55F2" w14:textId="77777777" w:rsidR="004543FB" w:rsidRPr="00D27BAD" w:rsidRDefault="004543FB" w:rsidP="00454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C2D"/>
    <w:rsid w:val="000B31C5"/>
    <w:rsid w:val="004543FB"/>
    <w:rsid w:val="009D0C2D"/>
    <w:rsid w:val="00B74F1D"/>
    <w:rsid w:val="00CB2ABD"/>
    <w:rsid w:val="00CB4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BE96D"/>
  <w15:docId w15:val="{919AD214-D0C9-4B3C-90BB-E30812EA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Verdana" w:eastAsia="Verdana" w:hAnsi="Verdana" w:cs="Verdana"/>
      <w:b/>
      <w:bCs/>
      <w:sz w:val="16"/>
      <w:szCs w:val="16"/>
    </w:rPr>
  </w:style>
  <w:style w:type="paragraph" w:styleId="Heading2">
    <w:name w:val="heading 2"/>
    <w:basedOn w:val="Normal"/>
    <w:next w:val="Normal"/>
    <w:pPr>
      <w:keepNext/>
      <w:keepLines/>
      <w:outlineLvl w:val="1"/>
    </w:pPr>
    <w:rPr>
      <w:rFonts w:ascii="Verdana" w:eastAsia="Verdana" w:hAnsi="Verdana" w:cs="Verdana"/>
      <w:b/>
      <w:bCs/>
      <w:sz w:val="16"/>
      <w:szCs w:val="16"/>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pPr>
    <w:rPr>
      <w:rFonts w:ascii="Verdana" w:eastAsia="Verdana" w:hAnsi="Verdana" w:cs="Verdana"/>
      <w:b/>
      <w:bCs/>
      <w:sz w:val="16"/>
      <w:szCs w:val="16"/>
    </w:rPr>
  </w:style>
  <w:style w:type="paragraph" w:styleId="Subtitle">
    <w:name w:val="Subtitle"/>
    <w:basedOn w:val="Normal"/>
    <w:next w:val="Normal"/>
    <w:pPr>
      <w:keepNext/>
      <w:keepLines/>
      <w:pBdr>
        <w:top w:val="nil"/>
        <w:left w:val="nil"/>
        <w:bottom w:val="nil"/>
        <w:right w:val="nil"/>
        <w:between w:val="nil"/>
      </w:pBdr>
      <w:spacing w:after="320"/>
    </w:pPr>
    <w:rPr>
      <w:color w:val="666666"/>
      <w:sz w:val="30"/>
      <w:szCs w:val="30"/>
    </w:rPr>
  </w:style>
  <w:style w:type="paragraph" w:styleId="Header">
    <w:name w:val="header"/>
    <w:basedOn w:val="Normal"/>
    <w:link w:val="HeaderChar"/>
    <w:uiPriority w:val="99"/>
    <w:unhideWhenUsed/>
    <w:rsid w:val="004543FB"/>
    <w:pPr>
      <w:tabs>
        <w:tab w:val="center" w:pos="4680"/>
        <w:tab w:val="right" w:pos="9360"/>
      </w:tabs>
      <w:spacing w:line="240" w:lineRule="auto"/>
    </w:pPr>
  </w:style>
  <w:style w:type="character" w:customStyle="1" w:styleId="HeaderChar">
    <w:name w:val="Header Char"/>
    <w:basedOn w:val="DefaultParagraphFont"/>
    <w:link w:val="Header"/>
    <w:uiPriority w:val="99"/>
    <w:rsid w:val="004543FB"/>
  </w:style>
  <w:style w:type="paragraph" w:styleId="Footer">
    <w:name w:val="footer"/>
    <w:basedOn w:val="Normal"/>
    <w:link w:val="FooterChar"/>
    <w:uiPriority w:val="99"/>
    <w:unhideWhenUsed/>
    <w:rsid w:val="004543FB"/>
    <w:pPr>
      <w:tabs>
        <w:tab w:val="center" w:pos="4680"/>
        <w:tab w:val="right" w:pos="9360"/>
      </w:tabs>
      <w:spacing w:line="240" w:lineRule="auto"/>
    </w:pPr>
  </w:style>
  <w:style w:type="character" w:customStyle="1" w:styleId="FooterChar">
    <w:name w:val="Footer Char"/>
    <w:basedOn w:val="DefaultParagraphFont"/>
    <w:link w:val="Footer"/>
    <w:uiPriority w:val="99"/>
    <w:rsid w:val="00454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i.org/10.7577/njcie.5693" TargetMode="External"/><Relationship Id="rId18" Type="http://schemas.openxmlformats.org/officeDocument/2006/relationships/hyperlink" Target="https://doi.org/10.62071/tmf.v36i1.699" TargetMode="External"/><Relationship Id="rId26" Type="http://schemas.openxmlformats.org/officeDocument/2006/relationships/hyperlink" Target="https://www.researchgate.net/publication/365225900_HUMANISTIC_PRINCIPLES_OF_FORMING_SPIRITUAL_VALUES_OF_STUDENTS_IN_HIGHER_EDUCATION_INSTITUTIONS" TargetMode="External"/><Relationship Id="rId39" Type="http://schemas.openxmlformats.org/officeDocument/2006/relationships/hyperlink" Target="https://doi.org/10.9770/jesi.2023.10.4(24)" TargetMode="External"/><Relationship Id="rId21" Type="http://schemas.openxmlformats.org/officeDocument/2006/relationships/hyperlink" Target="https://doi.org/10.46328/ijonse.203" TargetMode="External"/><Relationship Id="rId34" Type="http://schemas.openxmlformats.org/officeDocument/2006/relationships/hyperlink" Target="https://doi.org/10.36713/epra19861" TargetMode="External"/><Relationship Id="rId42" Type="http://schemas.openxmlformats.org/officeDocument/2006/relationships/hyperlink" Target="https://doi.org/10.14387/jkspth.2023.85.247" TargetMode="External"/><Relationship Id="rId47" Type="http://schemas.openxmlformats.org/officeDocument/2006/relationships/hyperlink" Target="https://doi.org/10.1177/07398913231177722" TargetMode="External"/><Relationship Id="rId50" Type="http://schemas.openxmlformats.org/officeDocument/2006/relationships/fontTable" Target="fontTable.xml"/><Relationship Id="rId7" Type="http://schemas.openxmlformats.org/officeDocument/2006/relationships/hyperlink" Target="https://doi.org/10.3390/educsci13101024" TargetMode="External"/><Relationship Id="rId2" Type="http://schemas.openxmlformats.org/officeDocument/2006/relationships/settings" Target="settings.xml"/><Relationship Id="rId16" Type="http://schemas.openxmlformats.org/officeDocument/2006/relationships/hyperlink" Target="https://doi.org/10.52499/2023017" TargetMode="External"/><Relationship Id="rId29" Type="http://schemas.openxmlformats.org/officeDocument/2006/relationships/hyperlink" Target="https://doi.org/10.12968/bjon.2020.29.15.897" TargetMode="External"/><Relationship Id="rId11" Type="http://schemas.openxmlformats.org/officeDocument/2006/relationships/hyperlink" Target="http://dx.doi.org/10.46827/ejes.v11i5.5291" TargetMode="External"/><Relationship Id="rId24" Type="http://schemas.openxmlformats.org/officeDocument/2006/relationships/hyperlink" Target="https://doi.org/10.1177/1469787419866304" TargetMode="External"/><Relationship Id="rId32" Type="http://schemas.openxmlformats.org/officeDocument/2006/relationships/hyperlink" Target="https://www.munich-business-school.de/insights/en/2022/what-is-a-working-student/" TargetMode="External"/><Relationship Id="rId37" Type="http://schemas.openxmlformats.org/officeDocument/2006/relationships/hyperlink" Target="https://doi.org/10.1177/07398913241302839" TargetMode="External"/><Relationship Id="rId40" Type="http://schemas.openxmlformats.org/officeDocument/2006/relationships/hyperlink" Target="http://dx.doi.org/10.14742/apubs.2024.1240" TargetMode="External"/><Relationship Id="rId45" Type="http://schemas.openxmlformats.org/officeDocument/2006/relationships/hyperlink" Target="https://doi.org/10.35723/AJIE.V4I1.108" TargetMode="External"/><Relationship Id="rId5" Type="http://schemas.openxmlformats.org/officeDocument/2006/relationships/endnotes" Target="endnotes.xml"/><Relationship Id="rId15" Type="http://schemas.openxmlformats.org/officeDocument/2006/relationships/hyperlink" Target="https://www.ijtsrd.com/papers/ijtsrd38023.pdf" TargetMode="External"/><Relationship Id="rId23" Type="http://schemas.openxmlformats.org/officeDocument/2006/relationships/hyperlink" Target="https://doi.org/10.1007/s10459-023-10249-4" TargetMode="External"/><Relationship Id="rId28" Type="http://schemas.openxmlformats.org/officeDocument/2006/relationships/hyperlink" Target="https://doi.org/10.62370/hbds.v25i2.273960" TargetMode="External"/><Relationship Id="rId36" Type="http://schemas.openxmlformats.org/officeDocument/2006/relationships/hyperlink" Target="https://doi.org/10.59653/ijmars.v2i01.433" TargetMode="External"/><Relationship Id="rId49" Type="http://schemas.openxmlformats.org/officeDocument/2006/relationships/header" Target="header1.xml"/><Relationship Id="rId10" Type="http://schemas.openxmlformats.org/officeDocument/2006/relationships/hyperlink" Target="https://doi.org/10.1007/s11133-019-9413-7" TargetMode="External"/><Relationship Id="rId19" Type="http://schemas.openxmlformats.org/officeDocument/2006/relationships/hyperlink" Target="https://doi.org/10.1187/cbe.21-09-0261" TargetMode="External"/><Relationship Id="rId31" Type="http://schemas.openxmlformats.org/officeDocument/2006/relationships/hyperlink" Target="https://doi.org/10.1108/jarhe-02-2020-0046" TargetMode="External"/><Relationship Id="rId44" Type="http://schemas.openxmlformats.org/officeDocument/2006/relationships/hyperlink" Target="https://doi.org/10.1111/tct.13762" TargetMode="External"/><Relationship Id="rId4" Type="http://schemas.openxmlformats.org/officeDocument/2006/relationships/footnotes" Target="footnotes.xml"/><Relationship Id="rId9" Type="http://schemas.openxmlformats.org/officeDocument/2006/relationships/hyperlink" Target="https://journaleet.in/index.php/jeet/article/view/134" TargetMode="External"/><Relationship Id="rId14" Type="http://schemas.openxmlformats.org/officeDocument/2006/relationships/hyperlink" Target="https://doi.org/10.31674/mjn.2023.v15i01.008" TargetMode="External"/><Relationship Id="rId22" Type="http://schemas.openxmlformats.org/officeDocument/2006/relationships/hyperlink" Target="https://www.leadquizzes.com/blog/data-collection-methods" TargetMode="External"/><Relationship Id="rId27" Type="http://schemas.openxmlformats.org/officeDocument/2006/relationships/hyperlink" Target="https://doi.org/10.1080/08995605.2020.1794477" TargetMode="External"/><Relationship Id="rId30" Type="http://schemas.openxmlformats.org/officeDocument/2006/relationships/hyperlink" Target="https://doi.org/10.59573/emsj.8(5).2024.1" TargetMode="External"/><Relationship Id="rId35" Type="http://schemas.openxmlformats.org/officeDocument/2006/relationships/hyperlink" Target="https://doi.org/10.19166/kairos.v2i2.5667" TargetMode="External"/><Relationship Id="rId43" Type="http://schemas.openxmlformats.org/officeDocument/2006/relationships/hyperlink" Target="https://doi.org/10.1108/BJM-06-2020-0189" TargetMode="External"/><Relationship Id="rId48" Type="http://schemas.openxmlformats.org/officeDocument/2006/relationships/hyperlink" Target="https://doi.org/10.1177/15588661221077690" TargetMode="External"/><Relationship Id="rId8" Type="http://schemas.openxmlformats.org/officeDocument/2006/relationships/hyperlink" Target="https://doi.org/10.9734/bpi/rtass/v2/19123d"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ijnrd.org/papers/IJNRD2206086.pdf" TargetMode="External"/><Relationship Id="rId17" Type="http://schemas.openxmlformats.org/officeDocument/2006/relationships/hyperlink" Target="https://doi.org/10.4102/ajcd.v4i1.62" TargetMode="External"/><Relationship Id="rId25" Type="http://schemas.openxmlformats.org/officeDocument/2006/relationships/hyperlink" Target="https://doi.org/10.1097/xeb.0000000000000458" TargetMode="External"/><Relationship Id="rId33" Type="http://schemas.openxmlformats.org/officeDocument/2006/relationships/hyperlink" Target="https://doi.org/10.1108/heswbl-03-2021-0045" TargetMode="External"/><Relationship Id="rId38" Type="http://schemas.openxmlformats.org/officeDocument/2006/relationships/hyperlink" Target="https://doi.org/10.24926/jcotr.v28i2.3765" TargetMode="External"/><Relationship Id="rId46" Type="http://schemas.openxmlformats.org/officeDocument/2006/relationships/hyperlink" Target="https://doi.org/10.1002/capr.12366" TargetMode="External"/><Relationship Id="rId20" Type="http://schemas.openxmlformats.org/officeDocument/2006/relationships/hyperlink" Target="https://doi.org/10.3233/jmp-200024" TargetMode="External"/><Relationship Id="rId41" Type="http://schemas.openxmlformats.org/officeDocument/2006/relationships/hyperlink" Target="https://doi.org/10.1111/jppi.12285" TargetMode="External"/><Relationship Id="rId1" Type="http://schemas.openxmlformats.org/officeDocument/2006/relationships/styles" Target="styles.xml"/><Relationship Id="rId6" Type="http://schemas.openxmlformats.org/officeDocument/2006/relationships/hyperlink" Target="https://orcid.org/0000-0003-2662-5749"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10083</Words>
  <Characters>57474</Characters>
  <Application>Microsoft Office Word</Application>
  <DocSecurity>0</DocSecurity>
  <Lines>478</Lines>
  <Paragraphs>134</Paragraphs>
  <ScaleCrop>false</ScaleCrop>
  <Company/>
  <LinksUpToDate>false</LinksUpToDate>
  <CharactersWithSpaces>67423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dc:creator>
  <cp:lastModifiedBy>Kit</cp:lastModifiedBy>
  <cp:revision>2</cp:revision>
  <dcterms:created xsi:type="dcterms:W3CDTF">2026-01-23T07:44:00Z</dcterms:created>
  <dcterms:modified xsi:type="dcterms:W3CDTF">2026-01-23T07:44:00Z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AA72DB336B964809BCFD87D98DB6C23B_13</vt:lpwstr>
  </property>
</Properties>
</file>